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D03629">
      <w:pPr>
        <w:keepNext w:val="0"/>
        <w:keepLines w:val="0"/>
        <w:pageBreakBefore w:val="0"/>
        <w:widowControl/>
        <w:kinsoku/>
        <w:wordWrap/>
        <w:overflowPunct/>
        <w:topLinePunct w:val="0"/>
        <w:autoSpaceDE/>
        <w:autoSpaceDN/>
        <w:bidi w:val="0"/>
        <w:spacing w:line="600" w:lineRule="exact"/>
        <w:ind w:firstLine="560" w:firstLineChars="200"/>
        <w:jc w:val="center"/>
        <w:textAlignment w:val="auto"/>
        <w:rPr>
          <w:rFonts w:hint="eastAsia" w:ascii="宋体" w:hAnsi="宋体" w:eastAsia="宋体" w:cs="宋体"/>
          <w:bCs/>
          <w:color w:val="000000" w:themeColor="text1"/>
          <w:sz w:val="28"/>
          <w:szCs w:val="28"/>
          <w14:textFill>
            <w14:solidFill>
              <w14:schemeClr w14:val="tx1"/>
            </w14:solidFill>
          </w14:textFill>
        </w:rPr>
      </w:pPr>
      <w:permStart w:id="0" w:edGrp="everyone"/>
      <w:permEnd w:id="0"/>
      <w:r>
        <w:rPr>
          <w:rFonts w:hint="eastAsia" w:ascii="宋体" w:hAnsi="宋体" w:eastAsia="宋体" w:cs="宋体"/>
          <w:bCs/>
          <w:color w:val="000000" w:themeColor="text1"/>
          <w:sz w:val="28"/>
          <w:szCs w:val="28"/>
          <w:lang w:val="en-US" w:eastAsia="zh-CN"/>
          <w14:textFill>
            <w14:solidFill>
              <w14:schemeClr w14:val="tx1"/>
            </w14:solidFill>
          </w14:textFill>
        </w:rPr>
        <w:t xml:space="preserve">                            </w:t>
      </w:r>
      <w:r>
        <w:rPr>
          <w:rFonts w:hint="eastAsia" w:ascii="宋体" w:hAnsi="宋体" w:eastAsia="宋体" w:cs="宋体"/>
          <w:bCs/>
          <w:color w:val="000000" w:themeColor="text1"/>
          <w:sz w:val="28"/>
          <w:szCs w:val="28"/>
          <w14:textFill>
            <w14:solidFill>
              <w14:schemeClr w14:val="tx1"/>
            </w14:solidFill>
          </w14:textFill>
        </w:rPr>
        <w:t>委托人合同编号：</w:t>
      </w:r>
    </w:p>
    <w:p w14:paraId="539E21A7">
      <w:pPr>
        <w:keepNext w:val="0"/>
        <w:keepLines w:val="0"/>
        <w:pageBreakBefore w:val="0"/>
        <w:widowControl/>
        <w:kinsoku/>
        <w:wordWrap/>
        <w:overflowPunct/>
        <w:topLinePunct w:val="0"/>
        <w:autoSpaceDE/>
        <w:autoSpaceDN/>
        <w:bidi w:val="0"/>
        <w:spacing w:line="600" w:lineRule="exact"/>
        <w:ind w:firstLine="560" w:firstLineChars="200"/>
        <w:jc w:val="center"/>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lang w:val="en-US" w:eastAsia="zh-CN"/>
          <w14:textFill>
            <w14:solidFill>
              <w14:schemeClr w14:val="tx1"/>
            </w14:solidFill>
          </w14:textFill>
        </w:rPr>
        <w:t xml:space="preserve">                            </w:t>
      </w:r>
      <w:r>
        <w:rPr>
          <w:rFonts w:hint="eastAsia" w:ascii="宋体" w:hAnsi="宋体" w:eastAsia="宋体" w:cs="宋体"/>
          <w:bCs/>
          <w:color w:val="000000" w:themeColor="text1"/>
          <w:sz w:val="28"/>
          <w:szCs w:val="28"/>
          <w14:textFill>
            <w14:solidFill>
              <w14:schemeClr w14:val="tx1"/>
            </w14:solidFill>
          </w14:textFill>
        </w:rPr>
        <w:t>咨询人合同编号：</w:t>
      </w:r>
    </w:p>
    <w:p w14:paraId="57AECE7E">
      <w:pPr>
        <w:pStyle w:val="5"/>
        <w:keepNext w:val="0"/>
        <w:keepLines w:val="0"/>
        <w:pageBreakBefore w:val="0"/>
        <w:kinsoku/>
        <w:wordWrap/>
        <w:overflowPunct/>
        <w:topLinePunct w:val="0"/>
        <w:autoSpaceDE/>
        <w:autoSpaceDN/>
        <w:bidi w:val="0"/>
        <w:spacing w:line="600" w:lineRule="exact"/>
        <w:ind w:firstLine="560" w:firstLineChars="200"/>
        <w:textAlignment w:val="auto"/>
        <w:rPr>
          <w:rFonts w:hint="eastAsia" w:ascii="宋体" w:hAnsi="宋体" w:cs="宋体"/>
          <w:bCs/>
          <w:color w:val="000000" w:themeColor="text1"/>
          <w:sz w:val="28"/>
          <w:szCs w:val="28"/>
          <w14:textFill>
            <w14:solidFill>
              <w14:schemeClr w14:val="tx1"/>
            </w14:solidFill>
          </w14:textFill>
        </w:rPr>
      </w:pPr>
    </w:p>
    <w:p w14:paraId="6766F611">
      <w:pPr>
        <w:pStyle w:val="5"/>
        <w:keepNext w:val="0"/>
        <w:keepLines w:val="0"/>
        <w:pageBreakBefore w:val="0"/>
        <w:kinsoku/>
        <w:wordWrap/>
        <w:overflowPunct/>
        <w:topLinePunct w:val="0"/>
        <w:autoSpaceDE/>
        <w:autoSpaceDN/>
        <w:bidi w:val="0"/>
        <w:spacing w:line="600" w:lineRule="exact"/>
        <w:ind w:firstLine="560" w:firstLineChars="200"/>
        <w:textAlignment w:val="auto"/>
        <w:rPr>
          <w:rFonts w:hint="eastAsia" w:ascii="宋体" w:hAnsi="宋体" w:cs="宋体"/>
          <w:bCs/>
          <w:color w:val="000000" w:themeColor="text1"/>
          <w:sz w:val="28"/>
          <w:szCs w:val="28"/>
          <w14:textFill>
            <w14:solidFill>
              <w14:schemeClr w14:val="tx1"/>
            </w14:solidFill>
          </w14:textFill>
        </w:rPr>
      </w:pPr>
    </w:p>
    <w:p w14:paraId="4FF279EF">
      <w:pPr>
        <w:pStyle w:val="5"/>
        <w:keepNext w:val="0"/>
        <w:keepLines w:val="0"/>
        <w:pageBreakBefore w:val="0"/>
        <w:kinsoku/>
        <w:wordWrap/>
        <w:overflowPunct/>
        <w:topLinePunct w:val="0"/>
        <w:autoSpaceDE/>
        <w:autoSpaceDN/>
        <w:bidi w:val="0"/>
        <w:spacing w:line="600" w:lineRule="exact"/>
        <w:ind w:firstLine="560" w:firstLineChars="200"/>
        <w:textAlignment w:val="auto"/>
        <w:rPr>
          <w:rFonts w:hint="eastAsia" w:ascii="宋体" w:hAnsi="宋体" w:cs="宋体"/>
          <w:bCs/>
          <w:color w:val="000000" w:themeColor="text1"/>
          <w:sz w:val="28"/>
          <w:szCs w:val="28"/>
          <w14:textFill>
            <w14:solidFill>
              <w14:schemeClr w14:val="tx1"/>
            </w14:solidFill>
          </w14:textFill>
        </w:rPr>
      </w:pPr>
      <w:bookmarkStart w:id="0" w:name="_GoBack"/>
      <w:bookmarkEnd w:id="0"/>
    </w:p>
    <w:p w14:paraId="79453C85">
      <w:pPr>
        <w:keepNext w:val="0"/>
        <w:keepLines w:val="0"/>
        <w:pageBreakBefore w:val="0"/>
        <w:kinsoku/>
        <w:wordWrap/>
        <w:overflowPunct/>
        <w:topLinePunct w:val="0"/>
        <w:autoSpaceDE/>
        <w:autoSpaceDN/>
        <w:bidi w:val="0"/>
        <w:spacing w:line="600" w:lineRule="exact"/>
        <w:ind w:firstLine="420" w:firstLineChars="200"/>
        <w:textAlignment w:val="auto"/>
        <w:rPr>
          <w:rFonts w:hint="eastAsia"/>
        </w:rPr>
      </w:pPr>
    </w:p>
    <w:p w14:paraId="576B224C">
      <w:pPr>
        <w:keepNext w:val="0"/>
        <w:keepLines w:val="0"/>
        <w:pageBreakBefore w:val="0"/>
        <w:widowControl/>
        <w:kinsoku/>
        <w:wordWrap/>
        <w:overflowPunct/>
        <w:topLinePunct w:val="0"/>
        <w:autoSpaceDE/>
        <w:autoSpaceDN/>
        <w:bidi w:val="0"/>
        <w:adjustRightInd w:val="0"/>
        <w:snapToGrid w:val="0"/>
        <w:spacing w:line="600" w:lineRule="exact"/>
        <w:ind w:firstLine="873" w:firstLineChars="200"/>
        <w:jc w:val="center"/>
        <w:textAlignment w:val="auto"/>
        <w:rPr>
          <w:rFonts w:hint="eastAsia" w:ascii="宋体" w:hAnsi="宋体" w:eastAsia="宋体" w:cs="宋体"/>
          <w:b/>
          <w:snapToGrid w:val="0"/>
          <w:color w:val="000000" w:themeColor="text1"/>
          <w:w w:val="99"/>
          <w:kern w:val="0"/>
          <w:sz w:val="44"/>
          <w:szCs w:val="44"/>
          <w:lang w:val="zh-CN"/>
          <w14:textFill>
            <w14:solidFill>
              <w14:schemeClr w14:val="tx1"/>
            </w14:solidFill>
          </w14:textFill>
        </w:rPr>
      </w:pPr>
      <w:r>
        <w:rPr>
          <w:rFonts w:hint="eastAsia" w:ascii="宋体" w:hAnsi="宋体" w:eastAsia="宋体" w:cs="宋体"/>
          <w:b/>
          <w:snapToGrid w:val="0"/>
          <w:color w:val="000000" w:themeColor="text1"/>
          <w:w w:val="99"/>
          <w:kern w:val="0"/>
          <w:sz w:val="44"/>
          <w:szCs w:val="44"/>
          <w:lang w:val="zh-CN"/>
          <w14:textFill>
            <w14:solidFill>
              <w14:schemeClr w14:val="tx1"/>
            </w14:solidFill>
          </w14:textFill>
        </w:rPr>
        <w:t>【</w:t>
      </w:r>
      <w:permStart w:id="1" w:edGrp="everyone"/>
      <w:r>
        <w:rPr>
          <w:rFonts w:hint="eastAsia" w:ascii="宋体" w:hAnsi="宋体" w:eastAsia="宋体" w:cs="宋体"/>
          <w:b/>
          <w:snapToGrid w:val="0"/>
          <w:color w:val="000000" w:themeColor="text1"/>
          <w:w w:val="99"/>
          <w:kern w:val="0"/>
          <w:sz w:val="44"/>
          <w:szCs w:val="44"/>
          <w14:textFill>
            <w14:solidFill>
              <w14:schemeClr w14:val="tx1"/>
            </w14:solidFill>
          </w14:textFill>
        </w:rPr>
        <w:t>2026年第一批87个工程项目分包结算</w:t>
      </w:r>
      <w:permEnd w:id="1"/>
      <w:r>
        <w:rPr>
          <w:rFonts w:hint="eastAsia" w:ascii="宋体" w:hAnsi="宋体" w:eastAsia="宋体" w:cs="宋体"/>
          <w:b/>
          <w:snapToGrid w:val="0"/>
          <w:color w:val="000000" w:themeColor="text1"/>
          <w:w w:val="99"/>
          <w:kern w:val="0"/>
          <w:sz w:val="44"/>
          <w:szCs w:val="44"/>
          <w:lang w:val="zh-CN"/>
          <w14:textFill>
            <w14:solidFill>
              <w14:schemeClr w14:val="tx1"/>
            </w14:solidFill>
          </w14:textFill>
        </w:rPr>
        <w:t>】</w:t>
      </w:r>
    </w:p>
    <w:p w14:paraId="3F444981">
      <w:pPr>
        <w:keepNext w:val="0"/>
        <w:keepLines w:val="0"/>
        <w:pageBreakBefore w:val="0"/>
        <w:widowControl/>
        <w:kinsoku/>
        <w:wordWrap/>
        <w:overflowPunct/>
        <w:topLinePunct w:val="0"/>
        <w:autoSpaceDE/>
        <w:autoSpaceDN/>
        <w:bidi w:val="0"/>
        <w:adjustRightInd w:val="0"/>
        <w:snapToGrid w:val="0"/>
        <w:spacing w:line="600" w:lineRule="exact"/>
        <w:ind w:firstLine="873" w:firstLineChars="200"/>
        <w:jc w:val="center"/>
        <w:textAlignment w:val="auto"/>
        <w:rPr>
          <w:rFonts w:hint="eastAsia" w:ascii="宋体" w:hAnsi="宋体" w:eastAsia="宋体" w:cs="宋体"/>
          <w:b/>
          <w:snapToGrid w:val="0"/>
          <w:color w:val="000000" w:themeColor="text1"/>
          <w:w w:val="99"/>
          <w:kern w:val="0"/>
          <w:sz w:val="44"/>
          <w:szCs w:val="44"/>
          <w:lang w:val="zh-CN"/>
          <w14:textFill>
            <w14:solidFill>
              <w14:schemeClr w14:val="tx1"/>
            </w14:solidFill>
          </w14:textFill>
        </w:rPr>
      </w:pPr>
      <w:r>
        <w:rPr>
          <w:rFonts w:hint="eastAsia" w:ascii="宋体" w:hAnsi="宋体" w:eastAsia="宋体" w:cs="宋体"/>
          <w:b/>
          <w:snapToGrid w:val="0"/>
          <w:color w:val="000000" w:themeColor="text1"/>
          <w:w w:val="99"/>
          <w:kern w:val="0"/>
          <w:sz w:val="44"/>
          <w:szCs w:val="44"/>
          <w:lang w:val="zh-CN"/>
          <w14:textFill>
            <w14:solidFill>
              <w14:schemeClr w14:val="tx1"/>
            </w14:solidFill>
          </w14:textFill>
        </w:rPr>
        <w:t>建设工程造价咨询合同</w:t>
      </w:r>
    </w:p>
    <w:p w14:paraId="688792C2">
      <w:pPr>
        <w:pStyle w:val="5"/>
        <w:keepNext w:val="0"/>
        <w:keepLines w:val="0"/>
        <w:pageBreakBefore w:val="0"/>
        <w:kinsoku/>
        <w:wordWrap/>
        <w:overflowPunct/>
        <w:topLinePunct w:val="0"/>
        <w:autoSpaceDE/>
        <w:autoSpaceDN/>
        <w:bidi w:val="0"/>
        <w:spacing w:line="600" w:lineRule="exact"/>
        <w:ind w:firstLine="560" w:firstLineChars="200"/>
        <w:textAlignment w:val="auto"/>
        <w:rPr>
          <w:rFonts w:hint="eastAsia" w:ascii="宋体" w:hAnsi="宋体" w:cs="宋体"/>
          <w:bCs/>
          <w:color w:val="000000" w:themeColor="text1"/>
          <w:sz w:val="28"/>
          <w:szCs w:val="28"/>
          <w:lang w:val="zh-CN"/>
          <w14:textFill>
            <w14:solidFill>
              <w14:schemeClr w14:val="tx1"/>
            </w14:solidFill>
          </w14:textFill>
        </w:rPr>
      </w:pPr>
    </w:p>
    <w:p w14:paraId="22923108">
      <w:pPr>
        <w:pStyle w:val="5"/>
        <w:keepNext w:val="0"/>
        <w:keepLines w:val="0"/>
        <w:pageBreakBefore w:val="0"/>
        <w:kinsoku/>
        <w:wordWrap/>
        <w:overflowPunct/>
        <w:topLinePunct w:val="0"/>
        <w:autoSpaceDE/>
        <w:autoSpaceDN/>
        <w:bidi w:val="0"/>
        <w:spacing w:line="600" w:lineRule="exact"/>
        <w:ind w:firstLine="562" w:firstLineChars="200"/>
        <w:textAlignment w:val="auto"/>
        <w:rPr>
          <w:rFonts w:hint="eastAsia" w:ascii="宋体" w:hAnsi="宋体" w:cs="宋体"/>
          <w:b/>
          <w:bCs/>
          <w:color w:val="000000" w:themeColor="text1"/>
          <w:sz w:val="28"/>
          <w:szCs w:val="28"/>
          <w14:textFill>
            <w14:solidFill>
              <w14:schemeClr w14:val="tx1"/>
            </w14:solidFill>
          </w14:textFill>
        </w:rPr>
      </w:pPr>
    </w:p>
    <w:p w14:paraId="071039FB">
      <w:pPr>
        <w:keepNext w:val="0"/>
        <w:keepLines w:val="0"/>
        <w:pageBreakBefore w:val="0"/>
        <w:kinsoku/>
        <w:wordWrap/>
        <w:overflowPunct/>
        <w:topLinePunct w:val="0"/>
        <w:autoSpaceDE/>
        <w:autoSpaceDN/>
        <w:bidi w:val="0"/>
        <w:spacing w:line="600" w:lineRule="exact"/>
        <w:ind w:firstLine="562" w:firstLineChars="200"/>
        <w:textAlignment w:val="auto"/>
        <w:rPr>
          <w:rFonts w:hint="eastAsia" w:ascii="宋体" w:hAnsi="宋体" w:cs="宋体"/>
          <w:b/>
          <w:bCs/>
          <w:color w:val="000000" w:themeColor="text1"/>
          <w:sz w:val="28"/>
          <w:szCs w:val="28"/>
          <w14:textFill>
            <w14:solidFill>
              <w14:schemeClr w14:val="tx1"/>
            </w14:solidFill>
          </w14:textFill>
        </w:rPr>
      </w:pPr>
    </w:p>
    <w:p w14:paraId="20F0F6C0">
      <w:pPr>
        <w:pStyle w:val="5"/>
        <w:keepNext w:val="0"/>
        <w:keepLines w:val="0"/>
        <w:pageBreakBefore w:val="0"/>
        <w:kinsoku/>
        <w:wordWrap/>
        <w:overflowPunct/>
        <w:topLinePunct w:val="0"/>
        <w:autoSpaceDE/>
        <w:autoSpaceDN/>
        <w:bidi w:val="0"/>
        <w:spacing w:line="600" w:lineRule="exact"/>
        <w:ind w:firstLine="562" w:firstLineChars="200"/>
        <w:textAlignment w:val="auto"/>
        <w:rPr>
          <w:rFonts w:hint="eastAsia" w:ascii="宋体" w:hAnsi="宋体" w:cs="宋体"/>
          <w:b/>
          <w:bCs/>
          <w:color w:val="000000" w:themeColor="text1"/>
          <w:sz w:val="28"/>
          <w:szCs w:val="28"/>
          <w14:textFill>
            <w14:solidFill>
              <w14:schemeClr w14:val="tx1"/>
            </w14:solidFill>
          </w14:textFill>
        </w:rPr>
      </w:pPr>
    </w:p>
    <w:p w14:paraId="6E115E31">
      <w:pPr>
        <w:keepNext w:val="0"/>
        <w:keepLines w:val="0"/>
        <w:pageBreakBefore w:val="0"/>
        <w:widowControl/>
        <w:kinsoku/>
        <w:wordWrap/>
        <w:overflowPunct/>
        <w:topLinePunct w:val="0"/>
        <w:autoSpaceDE/>
        <w:autoSpaceDN/>
        <w:bidi w:val="0"/>
        <w:spacing w:line="600" w:lineRule="exact"/>
        <w:ind w:firstLine="562" w:firstLineChars="200"/>
        <w:jc w:val="left"/>
        <w:textAlignment w:val="auto"/>
        <w:rPr>
          <w:rFonts w:hint="eastAsia" w:ascii="宋体" w:hAnsi="宋体" w:eastAsia="宋体" w:cs="宋体"/>
          <w:b/>
          <w:bCs/>
          <w:color w:val="000000" w:themeColor="text1"/>
          <w:sz w:val="28"/>
          <w:szCs w:val="28"/>
          <w14:textFill>
            <w14:solidFill>
              <w14:schemeClr w14:val="tx1"/>
            </w14:solidFill>
          </w14:textFill>
        </w:rPr>
      </w:pPr>
    </w:p>
    <w:p w14:paraId="24B6E682">
      <w:pPr>
        <w:pStyle w:val="5"/>
        <w:keepNext w:val="0"/>
        <w:keepLines w:val="0"/>
        <w:pageBreakBefore w:val="0"/>
        <w:kinsoku/>
        <w:wordWrap/>
        <w:overflowPunct/>
        <w:topLinePunct w:val="0"/>
        <w:autoSpaceDE/>
        <w:autoSpaceDN/>
        <w:bidi w:val="0"/>
        <w:spacing w:line="600" w:lineRule="exact"/>
        <w:ind w:firstLine="562" w:firstLineChars="200"/>
        <w:textAlignment w:val="auto"/>
        <w:rPr>
          <w:rFonts w:hint="eastAsia" w:ascii="宋体" w:hAnsi="宋体" w:cs="宋体"/>
          <w:b/>
          <w:bCs/>
          <w:color w:val="000000" w:themeColor="text1"/>
          <w:sz w:val="28"/>
          <w:szCs w:val="28"/>
          <w14:textFill>
            <w14:solidFill>
              <w14:schemeClr w14:val="tx1"/>
            </w14:solidFill>
          </w14:textFill>
        </w:rPr>
      </w:pPr>
    </w:p>
    <w:p w14:paraId="072ADDAD">
      <w:pPr>
        <w:keepNext w:val="0"/>
        <w:keepLines w:val="0"/>
        <w:pageBreakBefore w:val="0"/>
        <w:widowControl/>
        <w:kinsoku/>
        <w:wordWrap/>
        <w:overflowPunct/>
        <w:topLinePunct w:val="0"/>
        <w:autoSpaceDE/>
        <w:autoSpaceDN/>
        <w:bidi w:val="0"/>
        <w:spacing w:line="600" w:lineRule="exact"/>
        <w:ind w:left="420" w:firstLine="560" w:firstLineChars="200"/>
        <w:jc w:val="left"/>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委托人：重庆两江新城城市运营管理有限公司</w:t>
      </w:r>
    </w:p>
    <w:p w14:paraId="1F950B90">
      <w:pPr>
        <w:keepNext w:val="0"/>
        <w:keepLines w:val="0"/>
        <w:pageBreakBefore w:val="0"/>
        <w:widowControl/>
        <w:kinsoku/>
        <w:wordWrap/>
        <w:overflowPunct/>
        <w:topLinePunct w:val="0"/>
        <w:autoSpaceDE/>
        <w:autoSpaceDN/>
        <w:bidi w:val="0"/>
        <w:spacing w:line="600" w:lineRule="exact"/>
        <w:ind w:left="420" w:firstLine="560" w:firstLineChars="200"/>
        <w:jc w:val="left"/>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咨询人：【</w:t>
      </w:r>
      <w:permStart w:id="2" w:edGrp="everyone"/>
      <w:r>
        <w:rPr>
          <w:rFonts w:hint="eastAsia" w:ascii="宋体" w:hAnsi="宋体" w:eastAsia="宋体" w:cs="宋体"/>
          <w:bCs/>
          <w:color w:val="000000" w:themeColor="text1"/>
          <w:sz w:val="28"/>
          <w:szCs w:val="28"/>
          <w14:textFill>
            <w14:solidFill>
              <w14:schemeClr w14:val="tx1"/>
            </w14:solidFill>
          </w14:textFill>
        </w:rPr>
        <w:t xml:space="preserve"> </w:t>
      </w:r>
      <w:permEnd w:id="2"/>
      <w:r>
        <w:rPr>
          <w:rFonts w:hint="eastAsia" w:ascii="宋体" w:hAnsi="宋体" w:eastAsia="宋体" w:cs="宋体"/>
          <w:bCs/>
          <w:color w:val="000000" w:themeColor="text1"/>
          <w:sz w:val="28"/>
          <w:szCs w:val="28"/>
          <w14:textFill>
            <w14:solidFill>
              <w14:schemeClr w14:val="tx1"/>
            </w14:solidFill>
          </w14:textFill>
        </w:rPr>
        <w:t xml:space="preserve">】 </w:t>
      </w:r>
    </w:p>
    <w:p w14:paraId="38882890">
      <w:pPr>
        <w:keepNext w:val="0"/>
        <w:keepLines w:val="0"/>
        <w:pageBreakBefore w:val="0"/>
        <w:widowControl/>
        <w:kinsoku/>
        <w:wordWrap/>
        <w:overflowPunct/>
        <w:topLinePunct w:val="0"/>
        <w:autoSpaceDE/>
        <w:autoSpaceDN/>
        <w:bidi w:val="0"/>
        <w:spacing w:line="600" w:lineRule="exact"/>
        <w:ind w:left="420" w:firstLine="560" w:firstLineChars="200"/>
        <w:jc w:val="left"/>
        <w:textAlignment w:val="auto"/>
        <w:rPr>
          <w:rFonts w:hint="eastAsia" w:ascii="宋体" w:hAnsi="宋体" w:eastAsia="宋体" w:cs="宋体"/>
          <w:bCs/>
          <w:color w:val="000000" w:themeColor="text1"/>
          <w:sz w:val="28"/>
          <w:szCs w:val="28"/>
          <w14:textFill>
            <w14:solidFill>
              <w14:schemeClr w14:val="tx1"/>
            </w14:solidFill>
          </w14:textFill>
        </w:rPr>
      </w:pPr>
    </w:p>
    <w:p w14:paraId="570901A2">
      <w:pPr>
        <w:keepNext w:val="0"/>
        <w:keepLines w:val="0"/>
        <w:pageBreakBefore w:val="0"/>
        <w:widowControl/>
        <w:kinsoku/>
        <w:wordWrap/>
        <w:overflowPunct/>
        <w:topLinePunct w:val="0"/>
        <w:autoSpaceDE/>
        <w:autoSpaceDN/>
        <w:bidi w:val="0"/>
        <w:spacing w:line="600" w:lineRule="exact"/>
        <w:ind w:left="420" w:firstLine="560" w:firstLineChars="200"/>
        <w:jc w:val="left"/>
        <w:textAlignment w:val="auto"/>
        <w:rPr>
          <w:rFonts w:hint="eastAsia" w:ascii="宋体" w:hAnsi="宋体" w:eastAsia="宋体" w:cs="宋体"/>
          <w:bCs/>
          <w:color w:val="000000" w:themeColor="text1"/>
          <w:sz w:val="28"/>
          <w:szCs w:val="28"/>
          <w14:textFill>
            <w14:solidFill>
              <w14:schemeClr w14:val="tx1"/>
            </w14:solidFill>
          </w14:textFill>
        </w:rPr>
      </w:pPr>
    </w:p>
    <w:p w14:paraId="539392FB">
      <w:pPr>
        <w:keepNext w:val="0"/>
        <w:keepLines w:val="0"/>
        <w:pageBreakBefore w:val="0"/>
        <w:widowControl/>
        <w:kinsoku/>
        <w:wordWrap/>
        <w:overflowPunct/>
        <w:topLinePunct w:val="0"/>
        <w:autoSpaceDE/>
        <w:autoSpaceDN/>
        <w:bidi w:val="0"/>
        <w:spacing w:line="600" w:lineRule="exact"/>
        <w:ind w:left="420" w:firstLine="560" w:firstLineChars="200"/>
        <w:jc w:val="left"/>
        <w:textAlignment w:val="auto"/>
        <w:rPr>
          <w:rFonts w:hint="eastAsia" w:ascii="宋体" w:hAnsi="宋体" w:eastAsia="宋体" w:cs="宋体"/>
          <w:bCs/>
          <w:color w:val="000000" w:themeColor="text1"/>
          <w:sz w:val="28"/>
          <w:szCs w:val="28"/>
          <w14:textFill>
            <w14:solidFill>
              <w14:schemeClr w14:val="tx1"/>
            </w14:solidFill>
          </w14:textFill>
        </w:rPr>
      </w:pPr>
    </w:p>
    <w:p w14:paraId="7E4FF846">
      <w:pPr>
        <w:keepNext w:val="0"/>
        <w:keepLines w:val="0"/>
        <w:pageBreakBefore w:val="0"/>
        <w:widowControl/>
        <w:kinsoku/>
        <w:wordWrap/>
        <w:overflowPunct/>
        <w:topLinePunct w:val="0"/>
        <w:autoSpaceDE/>
        <w:autoSpaceDN/>
        <w:bidi w:val="0"/>
        <w:spacing w:line="600" w:lineRule="exact"/>
        <w:ind w:firstLine="560" w:firstLineChars="200"/>
        <w:jc w:val="both"/>
        <w:textAlignment w:val="auto"/>
        <w:rPr>
          <w:rFonts w:hint="eastAsia" w:ascii="宋体" w:hAnsi="宋体" w:eastAsia="宋体" w:cs="宋体"/>
          <w:bCs/>
          <w:color w:val="000000" w:themeColor="text1"/>
          <w:sz w:val="28"/>
          <w:szCs w:val="28"/>
          <w14:textFill>
            <w14:solidFill>
              <w14:schemeClr w14:val="tx1"/>
            </w14:solidFill>
          </w14:textFill>
        </w:rPr>
      </w:pPr>
    </w:p>
    <w:p w14:paraId="65E6BEB5">
      <w:pPr>
        <w:keepNext w:val="0"/>
        <w:keepLines w:val="0"/>
        <w:pageBreakBefore w:val="0"/>
        <w:widowControl/>
        <w:kinsoku/>
        <w:wordWrap/>
        <w:overflowPunct/>
        <w:topLinePunct w:val="0"/>
        <w:autoSpaceDE/>
        <w:autoSpaceDN/>
        <w:bidi w:val="0"/>
        <w:spacing w:line="600" w:lineRule="exact"/>
        <w:ind w:firstLine="560" w:firstLineChars="200"/>
        <w:jc w:val="center"/>
        <w:textAlignment w:val="auto"/>
        <w:rPr>
          <w:rFonts w:hint="eastAsia"/>
        </w:rPr>
      </w:pPr>
      <w:r>
        <w:rPr>
          <w:rFonts w:hint="eastAsia" w:ascii="宋体" w:hAnsi="宋体" w:eastAsia="宋体" w:cs="宋体"/>
          <w:bCs/>
          <w:color w:val="000000" w:themeColor="text1"/>
          <w:sz w:val="28"/>
          <w:szCs w:val="28"/>
          <w14:textFill>
            <w14:solidFill>
              <w14:schemeClr w14:val="tx1"/>
            </w14:solidFill>
          </w14:textFill>
        </w:rPr>
        <w:t>签订日期【</w:t>
      </w:r>
      <w:permStart w:id="3" w:edGrp="everyone"/>
      <w:r>
        <w:rPr>
          <w:rFonts w:hint="eastAsia" w:ascii="宋体" w:hAnsi="宋体" w:eastAsia="宋体" w:cs="宋体"/>
          <w:bCs/>
          <w:color w:val="000000" w:themeColor="text1"/>
          <w:sz w:val="28"/>
          <w:szCs w:val="28"/>
          <w14:textFill>
            <w14:solidFill>
              <w14:schemeClr w14:val="tx1"/>
            </w14:solidFill>
          </w14:textFill>
        </w:rPr>
        <w:t xml:space="preserve"> </w:t>
      </w:r>
      <w:permEnd w:id="3"/>
      <w:r>
        <w:rPr>
          <w:rFonts w:hint="eastAsia" w:ascii="宋体" w:hAnsi="宋体" w:eastAsia="宋体" w:cs="宋体"/>
          <w:bCs/>
          <w:color w:val="000000" w:themeColor="text1"/>
          <w:sz w:val="28"/>
          <w:szCs w:val="28"/>
          <w14:textFill>
            <w14:solidFill>
              <w14:schemeClr w14:val="tx1"/>
            </w14:solidFill>
          </w14:textFill>
        </w:rPr>
        <w:t>】年【</w:t>
      </w:r>
      <w:permStart w:id="4" w:edGrp="everyone"/>
      <w:r>
        <w:rPr>
          <w:rFonts w:hint="eastAsia" w:ascii="宋体" w:hAnsi="宋体" w:eastAsia="宋体" w:cs="宋体"/>
          <w:bCs/>
          <w:color w:val="000000" w:themeColor="text1"/>
          <w:sz w:val="28"/>
          <w:szCs w:val="28"/>
          <w14:textFill>
            <w14:solidFill>
              <w14:schemeClr w14:val="tx1"/>
            </w14:solidFill>
          </w14:textFill>
        </w:rPr>
        <w:t xml:space="preserve"> </w:t>
      </w:r>
      <w:permEnd w:id="4"/>
      <w:r>
        <w:rPr>
          <w:rFonts w:hint="eastAsia" w:ascii="宋体" w:hAnsi="宋体" w:eastAsia="宋体" w:cs="宋体"/>
          <w:bCs/>
          <w:color w:val="000000" w:themeColor="text1"/>
          <w:sz w:val="28"/>
          <w:szCs w:val="28"/>
          <w14:textFill>
            <w14:solidFill>
              <w14:schemeClr w14:val="tx1"/>
            </w14:solidFill>
          </w14:textFill>
        </w:rPr>
        <w:t>】月</w:t>
      </w:r>
    </w:p>
    <w:p w14:paraId="3EA2A7EA">
      <w:pPr>
        <w:pStyle w:val="5"/>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cs="宋体"/>
          <w:bCs/>
          <w:color w:val="000000" w:themeColor="text1"/>
          <w:sz w:val="28"/>
          <w:szCs w:val="28"/>
          <w14:textFill>
            <w14:solidFill>
              <w14:schemeClr w14:val="tx1"/>
            </w14:solidFill>
          </w14:textFill>
        </w:rPr>
      </w:pPr>
      <w:permStart w:id="5" w:edGrp="everyone"/>
      <w:r>
        <w:rPr>
          <w:rFonts w:hint="eastAsia" w:ascii="宋体" w:hAnsi="宋体" w:cs="宋体"/>
          <w:color w:val="000000" w:themeColor="text1"/>
          <w:spacing w:val="-20"/>
          <w:sz w:val="28"/>
          <w:szCs w:val="28"/>
          <w14:textFill>
            <w14:solidFill>
              <w14:schemeClr w14:val="tx1"/>
            </w14:solidFill>
          </w14:textFill>
        </w:rPr>
        <w:t>【本合同</w:t>
      </w:r>
      <w:r>
        <w:rPr>
          <w:rFonts w:hint="eastAsia" w:ascii="宋体" w:hAnsi="宋体" w:cs="宋体"/>
          <w:color w:val="000000" w:themeColor="text1"/>
          <w:spacing w:val="-20"/>
          <w:sz w:val="28"/>
          <w:szCs w:val="28"/>
          <w:lang w:val="en-US" w:eastAsia="zh-CN"/>
          <w14:textFill>
            <w14:solidFill>
              <w14:schemeClr w14:val="tx1"/>
            </w14:solidFill>
          </w14:textFill>
        </w:rPr>
        <w:t>采用建设工程造价咨询合同范本，</w:t>
      </w:r>
      <w:r>
        <w:rPr>
          <w:rFonts w:hint="eastAsia" w:ascii="宋体" w:hAnsi="宋体" w:cs="宋体"/>
          <w:color w:val="000000" w:themeColor="text1"/>
          <w:spacing w:val="-20"/>
          <w:sz w:val="28"/>
          <w:szCs w:val="28"/>
          <w14:textFill>
            <w14:solidFill>
              <w14:schemeClr w14:val="tx1"/>
            </w14:solidFill>
          </w14:textFill>
        </w:rPr>
        <w:t>适用于工程概算、预算、最高限价、结算的编制及审核，造价鉴定纠纷、过程控制等工程造价咨询服务】</w:t>
      </w:r>
      <w:permEnd w:id="5"/>
      <w:r>
        <w:rPr>
          <w:rFonts w:hint="eastAsia" w:ascii="宋体" w:hAnsi="宋体" w:cs="宋体"/>
          <w:bCs/>
          <w:color w:val="000000" w:themeColor="text1"/>
          <w:sz w:val="28"/>
          <w:szCs w:val="28"/>
          <w14:textFill>
            <w14:solidFill>
              <w14:schemeClr w14:val="tx1"/>
            </w14:solidFill>
          </w14:textFill>
        </w:rPr>
        <w:br w:type="page"/>
      </w:r>
    </w:p>
    <w:p w14:paraId="7A459360">
      <w:pPr>
        <w:pStyle w:val="5"/>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cs="宋体"/>
          <w:bCs/>
          <w:spacing w:val="-20"/>
          <w:kern w:val="0"/>
          <w:sz w:val="28"/>
          <w:szCs w:val="28"/>
        </w:rPr>
      </w:pPr>
      <w:permStart w:id="6" w:edGrp="everyone"/>
      <w:r>
        <w:rPr>
          <w:rFonts w:hint="eastAsia" w:ascii="宋体" w:hAnsi="宋体" w:cs="宋体"/>
          <w:color w:val="000000" w:themeColor="text1"/>
          <w:spacing w:val="-20"/>
          <w:sz w:val="28"/>
          <w:szCs w:val="28"/>
          <w14:textFill>
            <w14:solidFill>
              <w14:schemeClr w14:val="tx1"/>
            </w14:solidFill>
          </w14:textFill>
        </w:rPr>
        <w:t>【注意：【】外部分由</w:t>
      </w:r>
      <w:r>
        <w:rPr>
          <w:rFonts w:hint="eastAsia" w:ascii="宋体" w:hAnsi="宋体" w:cs="宋体"/>
          <w:color w:val="000000" w:themeColor="text1"/>
          <w:spacing w:val="-20"/>
          <w:sz w:val="28"/>
          <w:szCs w:val="28"/>
          <w:lang w:eastAsia="zh-CN"/>
          <w14:textFill>
            <w14:solidFill>
              <w14:schemeClr w14:val="tx1"/>
            </w14:solidFill>
          </w14:textFill>
        </w:rPr>
        <w:t>法务</w:t>
      </w:r>
      <w:r>
        <w:rPr>
          <w:rFonts w:hint="eastAsia" w:ascii="宋体" w:hAnsi="宋体" w:cs="宋体"/>
          <w:color w:val="000000" w:themeColor="text1"/>
          <w:spacing w:val="-20"/>
          <w:sz w:val="28"/>
          <w:szCs w:val="28"/>
          <w14:textFill>
            <w14:solidFill>
              <w14:schemeClr w14:val="tx1"/>
            </w14:solidFill>
          </w14:textFill>
        </w:rPr>
        <w:t>部门负责；【】框内由使用部门负责，内容仅作参考，使用部门根据项目实际情况进一步修改、补充、“</w:t>
      </w:r>
      <w:r>
        <w:rPr>
          <w:rFonts w:hint="eastAsia" w:ascii="宋体" w:hAnsi="宋体" w:cs="宋体"/>
          <w:bCs/>
          <w:spacing w:val="-20"/>
          <w:kern w:val="0"/>
          <w:sz w:val="28"/>
          <w:szCs w:val="28"/>
        </w:rPr>
        <w:t>/”等</w:t>
      </w:r>
      <w:r>
        <w:rPr>
          <w:rFonts w:hint="eastAsia" w:ascii="宋体" w:hAnsi="宋体" w:cs="宋体"/>
          <w:color w:val="000000" w:themeColor="text1"/>
          <w:spacing w:val="-20"/>
          <w:sz w:val="28"/>
          <w:szCs w:val="28"/>
          <w14:textFill>
            <w14:solidFill>
              <w14:schemeClr w14:val="tx1"/>
            </w14:solidFill>
          </w14:textFill>
        </w:rPr>
        <w:t>】</w:t>
      </w:r>
    </w:p>
    <w:permEnd w:id="6"/>
    <w:p w14:paraId="2F123F87">
      <w:pPr>
        <w:pStyle w:val="10"/>
        <w:keepNext w:val="0"/>
        <w:keepLines w:val="0"/>
        <w:pageBreakBefore w:val="0"/>
        <w:kinsoku/>
        <w:wordWrap/>
        <w:overflowPunct/>
        <w:topLinePunct w:val="0"/>
        <w:autoSpaceDE/>
        <w:autoSpaceDN/>
        <w:bidi w:val="0"/>
        <w:spacing w:before="0" w:beforeAutospacing="0" w:after="0" w:afterAutospacing="0" w:line="400" w:lineRule="exact"/>
        <w:ind w:firstLine="556" w:firstLineChars="200"/>
        <w:jc w:val="center"/>
        <w:textAlignment w:val="auto"/>
        <w:rPr>
          <w:rFonts w:hint="eastAsia" w:eastAsia="宋体" w:cs="宋体"/>
          <w:b/>
          <w:snapToGrid w:val="0"/>
          <w:color w:val="000000" w:themeColor="text1"/>
          <w:w w:val="99"/>
          <w:sz w:val="28"/>
          <w:szCs w:val="28"/>
          <w:lang w:val="zh-CN"/>
          <w14:textFill>
            <w14:solidFill>
              <w14:schemeClr w14:val="tx1"/>
            </w14:solidFill>
          </w14:textFill>
        </w:rPr>
      </w:pPr>
    </w:p>
    <w:p w14:paraId="60E19FAF">
      <w:pPr>
        <w:pStyle w:val="10"/>
        <w:keepNext w:val="0"/>
        <w:keepLines w:val="0"/>
        <w:pageBreakBefore w:val="0"/>
        <w:kinsoku/>
        <w:wordWrap/>
        <w:overflowPunct/>
        <w:topLinePunct w:val="0"/>
        <w:autoSpaceDE/>
        <w:autoSpaceDN/>
        <w:bidi w:val="0"/>
        <w:spacing w:before="0" w:beforeAutospacing="0" w:after="0" w:afterAutospacing="0" w:line="400" w:lineRule="exact"/>
        <w:ind w:firstLine="556" w:firstLineChars="200"/>
        <w:jc w:val="center"/>
        <w:textAlignment w:val="auto"/>
        <w:rPr>
          <w:rFonts w:hint="eastAsia" w:eastAsia="宋体" w:cs="宋体"/>
          <w:b/>
          <w:snapToGrid w:val="0"/>
          <w:color w:val="000000" w:themeColor="text1"/>
          <w:w w:val="99"/>
          <w:sz w:val="28"/>
          <w:szCs w:val="28"/>
          <w:lang w:val="zh-CN"/>
          <w14:textFill>
            <w14:solidFill>
              <w14:schemeClr w14:val="tx1"/>
            </w14:solidFill>
          </w14:textFill>
        </w:rPr>
      </w:pPr>
    </w:p>
    <w:p w14:paraId="5DA5AF60">
      <w:pPr>
        <w:pStyle w:val="10"/>
        <w:keepNext w:val="0"/>
        <w:keepLines w:val="0"/>
        <w:pageBreakBefore w:val="0"/>
        <w:kinsoku/>
        <w:wordWrap/>
        <w:overflowPunct/>
        <w:topLinePunct w:val="0"/>
        <w:autoSpaceDE/>
        <w:autoSpaceDN/>
        <w:bidi w:val="0"/>
        <w:spacing w:before="0" w:beforeAutospacing="0" w:after="0" w:afterAutospacing="0" w:line="400" w:lineRule="exact"/>
        <w:ind w:firstLine="556" w:firstLineChars="200"/>
        <w:jc w:val="center"/>
        <w:textAlignment w:val="auto"/>
        <w:rPr>
          <w:rFonts w:hint="eastAsia" w:eastAsia="宋体" w:cs="宋体"/>
          <w:b/>
          <w:snapToGrid w:val="0"/>
          <w:color w:val="000000" w:themeColor="text1"/>
          <w:w w:val="99"/>
          <w:sz w:val="28"/>
          <w:szCs w:val="28"/>
          <w:lang w:val="zh-CN"/>
          <w14:textFill>
            <w14:solidFill>
              <w14:schemeClr w14:val="tx1"/>
            </w14:solidFill>
          </w14:textFill>
        </w:rPr>
      </w:pPr>
      <w:r>
        <w:rPr>
          <w:rFonts w:hint="eastAsia" w:eastAsia="宋体" w:cs="宋体"/>
          <w:b/>
          <w:snapToGrid w:val="0"/>
          <w:color w:val="000000" w:themeColor="text1"/>
          <w:w w:val="99"/>
          <w:sz w:val="28"/>
          <w:szCs w:val="28"/>
          <w:lang w:val="zh-CN"/>
          <w14:textFill>
            <w14:solidFill>
              <w14:schemeClr w14:val="tx1"/>
            </w14:solidFill>
          </w14:textFill>
        </w:rPr>
        <w:t>使用说明</w:t>
      </w:r>
    </w:p>
    <w:p w14:paraId="379318A7">
      <w:pPr>
        <w:pStyle w:val="10"/>
        <w:keepNext w:val="0"/>
        <w:keepLines w:val="0"/>
        <w:pageBreakBefore w:val="0"/>
        <w:kinsoku/>
        <w:wordWrap/>
        <w:overflowPunct/>
        <w:topLinePunct w:val="0"/>
        <w:autoSpaceDE/>
        <w:autoSpaceDN/>
        <w:bidi w:val="0"/>
        <w:spacing w:before="0" w:beforeAutospacing="0" w:after="0" w:afterAutospacing="0" w:line="400" w:lineRule="exact"/>
        <w:ind w:firstLine="480" w:firstLineChars="200"/>
        <w:jc w:val="both"/>
        <w:textAlignment w:val="auto"/>
        <w:rPr>
          <w:rFonts w:hint="eastAsia" w:eastAsia="宋体" w:cs="宋体"/>
          <w:bCs/>
          <w:spacing w:val="-20"/>
          <w:sz w:val="28"/>
          <w:szCs w:val="28"/>
        </w:rPr>
      </w:pPr>
    </w:p>
    <w:p w14:paraId="3A880D5C">
      <w:pPr>
        <w:pStyle w:val="10"/>
        <w:keepNext w:val="0"/>
        <w:keepLines w:val="0"/>
        <w:pageBreakBefore w:val="0"/>
        <w:kinsoku/>
        <w:wordWrap/>
        <w:overflowPunct/>
        <w:topLinePunct w:val="0"/>
        <w:autoSpaceDE/>
        <w:autoSpaceDN/>
        <w:bidi w:val="0"/>
        <w:spacing w:before="0" w:beforeAutospacing="0" w:after="0" w:afterAutospacing="0" w:line="400" w:lineRule="exact"/>
        <w:ind w:firstLine="480" w:firstLineChars="200"/>
        <w:jc w:val="both"/>
        <w:textAlignment w:val="auto"/>
        <w:rPr>
          <w:rFonts w:hint="eastAsia" w:eastAsia="宋体" w:cs="宋体"/>
          <w:bCs/>
          <w:spacing w:val="-20"/>
          <w:sz w:val="28"/>
          <w:szCs w:val="28"/>
        </w:rPr>
      </w:pPr>
      <w:r>
        <w:rPr>
          <w:rFonts w:hint="eastAsia" w:eastAsia="宋体" w:cs="宋体"/>
          <w:bCs/>
          <w:spacing w:val="-20"/>
          <w:sz w:val="28"/>
          <w:szCs w:val="28"/>
        </w:rPr>
        <w:t>《建设工程造价咨询合同》包括《建设工程造价咨询合同标准条件》和《建设工程造价咨询合同专用条件》(以下简称《标准条件》、《专用条件》)。</w:t>
      </w:r>
    </w:p>
    <w:p w14:paraId="0E44496C">
      <w:pPr>
        <w:pStyle w:val="10"/>
        <w:keepNext w:val="0"/>
        <w:keepLines w:val="0"/>
        <w:pageBreakBefore w:val="0"/>
        <w:kinsoku/>
        <w:wordWrap/>
        <w:overflowPunct/>
        <w:topLinePunct w:val="0"/>
        <w:autoSpaceDE/>
        <w:autoSpaceDN/>
        <w:bidi w:val="0"/>
        <w:spacing w:before="0" w:beforeAutospacing="0" w:after="0" w:afterAutospacing="0" w:line="400" w:lineRule="exact"/>
        <w:ind w:firstLine="480" w:firstLineChars="200"/>
        <w:textAlignment w:val="auto"/>
        <w:rPr>
          <w:rFonts w:hint="eastAsia" w:eastAsia="宋体" w:cs="宋体"/>
          <w:bCs/>
          <w:spacing w:val="-20"/>
          <w:sz w:val="28"/>
          <w:szCs w:val="28"/>
        </w:rPr>
      </w:pPr>
      <w:r>
        <w:rPr>
          <w:rFonts w:hint="eastAsia" w:eastAsia="宋体" w:cs="宋体"/>
          <w:bCs/>
          <w:spacing w:val="-20"/>
          <w:sz w:val="28"/>
          <w:szCs w:val="28"/>
        </w:rPr>
        <w:t>《标准条件》适用于各类建设工程项目造价咨询委托，委托人和咨询人都应当遵守。《专用条件》是根据建设工程项目特点和条件，由委托人和咨询人协商一致后进行填写。双方如果认为需要，还可在其中增加约定的补充条款和修正条款。</w:t>
      </w:r>
    </w:p>
    <w:p w14:paraId="71048A1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专用条件》的填写说明：《专用条件》应当对应《标准条件》的顺序进行填写。例如：第二条要根据建设工程的具体情况，如工程类别、建设地点等填写所适用的部门或地方法律法规及工程造价有关办法和规定。第四条在协商和写明"建设工程造价咨询业务范围"时首先应明确项目范围如工程项目、单项工程或单位工程以及所承担咨询业务与工程总承包合同或分包合同所涵盖工程范围相一致。其次应明确项目建设不同阶段如可行性研究、设计，招投标阶段或全过程工程造价咨询中投资估算、概算或预算的内容等。根据《中华人民共和国民法典》及国家有关法律、行政法规的规定，为了明确双方权利、义务和责任，遵循平等、自愿、公平和诚信原则，结合具体情况，甲方将市政管护保洁、绿化及可能产生的零星劳务服务交由乙方实施，现就管护服务事项达成一致，订立本合同。双方承诺按合同约定履约，均不得转让本合同的权利和义务。</w:t>
      </w:r>
    </w:p>
    <w:p w14:paraId="7973D9DC">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宋体" w:hAnsi="宋体" w:eastAsia="宋体" w:cs="宋体"/>
          <w:bCs/>
          <w:spacing w:val="-20"/>
          <w:kern w:val="0"/>
          <w:sz w:val="28"/>
          <w:szCs w:val="28"/>
        </w:rPr>
      </w:pPr>
    </w:p>
    <w:p w14:paraId="5C39ABFE">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宋体" w:hAnsi="宋体" w:eastAsia="宋体" w:cs="宋体"/>
          <w:bCs/>
          <w:spacing w:val="-20"/>
          <w:kern w:val="0"/>
          <w:sz w:val="28"/>
          <w:szCs w:val="28"/>
        </w:rPr>
      </w:pPr>
    </w:p>
    <w:p w14:paraId="40C24584">
      <w:pPr>
        <w:pStyle w:val="5"/>
        <w:keepNext w:val="0"/>
        <w:keepLines w:val="0"/>
        <w:pageBreakBefore w:val="0"/>
        <w:kinsoku/>
        <w:wordWrap/>
        <w:overflowPunct/>
        <w:topLinePunct w:val="0"/>
        <w:autoSpaceDE/>
        <w:autoSpaceDN/>
        <w:bidi w:val="0"/>
        <w:ind w:firstLine="480" w:firstLineChars="200"/>
        <w:textAlignment w:val="auto"/>
        <w:rPr>
          <w:rFonts w:hint="eastAsia" w:ascii="宋体" w:hAnsi="宋体" w:eastAsia="宋体" w:cs="宋体"/>
          <w:bCs/>
          <w:spacing w:val="-20"/>
          <w:kern w:val="0"/>
          <w:sz w:val="28"/>
          <w:szCs w:val="28"/>
        </w:rPr>
      </w:pPr>
    </w:p>
    <w:p w14:paraId="77B9BF7E">
      <w:pPr>
        <w:keepNext w:val="0"/>
        <w:keepLines w:val="0"/>
        <w:pageBreakBefore w:val="0"/>
        <w:kinsoku/>
        <w:wordWrap/>
        <w:overflowPunct/>
        <w:topLinePunct w:val="0"/>
        <w:autoSpaceDE/>
        <w:autoSpaceDN/>
        <w:bidi w:val="0"/>
        <w:ind w:firstLine="480" w:firstLineChars="200"/>
        <w:textAlignment w:val="auto"/>
        <w:rPr>
          <w:rFonts w:hint="eastAsia" w:ascii="宋体" w:hAnsi="宋体" w:eastAsia="宋体" w:cs="宋体"/>
          <w:bCs/>
          <w:spacing w:val="-20"/>
          <w:kern w:val="0"/>
          <w:sz w:val="28"/>
          <w:szCs w:val="28"/>
        </w:rPr>
      </w:pPr>
    </w:p>
    <w:p w14:paraId="060B5D1B">
      <w:pPr>
        <w:pStyle w:val="5"/>
        <w:keepNext w:val="0"/>
        <w:keepLines w:val="0"/>
        <w:pageBreakBefore w:val="0"/>
        <w:kinsoku/>
        <w:wordWrap/>
        <w:overflowPunct/>
        <w:topLinePunct w:val="0"/>
        <w:autoSpaceDE/>
        <w:autoSpaceDN/>
        <w:bidi w:val="0"/>
        <w:ind w:firstLine="480" w:firstLineChars="200"/>
        <w:textAlignment w:val="auto"/>
        <w:rPr>
          <w:rFonts w:hint="eastAsia" w:ascii="宋体" w:hAnsi="宋体" w:eastAsia="宋体" w:cs="宋体"/>
          <w:bCs/>
          <w:spacing w:val="-20"/>
          <w:kern w:val="0"/>
          <w:sz w:val="28"/>
          <w:szCs w:val="28"/>
        </w:rPr>
      </w:pPr>
    </w:p>
    <w:p w14:paraId="5E473D40">
      <w:pPr>
        <w:keepNext w:val="0"/>
        <w:keepLines w:val="0"/>
        <w:pageBreakBefore w:val="0"/>
        <w:kinsoku/>
        <w:wordWrap/>
        <w:overflowPunct/>
        <w:topLinePunct w:val="0"/>
        <w:autoSpaceDE/>
        <w:autoSpaceDN/>
        <w:bidi w:val="0"/>
        <w:ind w:firstLine="480" w:firstLineChars="200"/>
        <w:textAlignment w:val="auto"/>
        <w:rPr>
          <w:rFonts w:hint="eastAsia" w:ascii="宋体" w:hAnsi="宋体" w:eastAsia="宋体" w:cs="宋体"/>
          <w:bCs/>
          <w:spacing w:val="-20"/>
          <w:kern w:val="0"/>
          <w:sz w:val="28"/>
          <w:szCs w:val="28"/>
        </w:rPr>
      </w:pPr>
    </w:p>
    <w:p w14:paraId="2408EE66">
      <w:pPr>
        <w:pStyle w:val="5"/>
        <w:keepNext w:val="0"/>
        <w:keepLines w:val="0"/>
        <w:pageBreakBefore w:val="0"/>
        <w:kinsoku/>
        <w:wordWrap/>
        <w:overflowPunct/>
        <w:topLinePunct w:val="0"/>
        <w:autoSpaceDE/>
        <w:autoSpaceDN/>
        <w:bidi w:val="0"/>
        <w:ind w:firstLine="480" w:firstLineChars="200"/>
        <w:textAlignment w:val="auto"/>
        <w:rPr>
          <w:rFonts w:hint="eastAsia" w:ascii="宋体" w:hAnsi="宋体" w:eastAsia="宋体" w:cs="宋体"/>
          <w:bCs/>
          <w:spacing w:val="-20"/>
          <w:kern w:val="0"/>
          <w:sz w:val="28"/>
          <w:szCs w:val="28"/>
        </w:rPr>
      </w:pPr>
    </w:p>
    <w:p w14:paraId="43E96DCD">
      <w:pPr>
        <w:keepNext w:val="0"/>
        <w:keepLines w:val="0"/>
        <w:pageBreakBefore w:val="0"/>
        <w:kinsoku/>
        <w:wordWrap/>
        <w:overflowPunct/>
        <w:topLinePunct w:val="0"/>
        <w:autoSpaceDE/>
        <w:autoSpaceDN/>
        <w:bidi w:val="0"/>
        <w:ind w:firstLine="420" w:firstLineChars="200"/>
        <w:textAlignment w:val="auto"/>
        <w:rPr>
          <w:rFonts w:hint="eastAsia"/>
        </w:rPr>
      </w:pPr>
    </w:p>
    <w:p w14:paraId="0FEBDEF0">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宋体" w:hAnsi="宋体" w:eastAsia="宋体" w:cs="宋体"/>
          <w:bCs/>
          <w:spacing w:val="-20"/>
          <w:kern w:val="0"/>
          <w:sz w:val="28"/>
          <w:szCs w:val="28"/>
        </w:rPr>
      </w:pPr>
    </w:p>
    <w:p w14:paraId="692EE387">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宋体" w:hAnsi="宋体" w:eastAsia="宋体" w:cs="宋体"/>
          <w:bCs/>
          <w:spacing w:val="-20"/>
          <w:kern w:val="0"/>
          <w:sz w:val="28"/>
          <w:szCs w:val="28"/>
        </w:rPr>
      </w:pPr>
    </w:p>
    <w:p w14:paraId="2CD6AE9A">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宋体" w:hAnsi="宋体" w:eastAsia="宋体" w:cs="宋体"/>
          <w:bCs/>
          <w:spacing w:val="-20"/>
          <w:kern w:val="0"/>
          <w:sz w:val="28"/>
          <w:szCs w:val="28"/>
        </w:rPr>
      </w:pPr>
    </w:p>
    <w:p w14:paraId="3E00ED6A">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方正小标宋_GBK" w:hAnsi="方正小标宋_GBK" w:eastAsia="方正小标宋_GBK" w:cs="方正小标宋_GBK"/>
          <w:bCs/>
          <w:spacing w:val="-20"/>
          <w:kern w:val="0"/>
          <w:sz w:val="28"/>
          <w:szCs w:val="28"/>
        </w:rPr>
      </w:pPr>
      <w:r>
        <w:rPr>
          <w:rFonts w:hint="eastAsia" w:ascii="方正小标宋_GBK" w:hAnsi="方正小标宋_GBK" w:eastAsia="方正小标宋_GBK" w:cs="方正小标宋_GBK"/>
          <w:bCs/>
          <w:spacing w:val="-20"/>
          <w:kern w:val="0"/>
          <w:sz w:val="28"/>
          <w:szCs w:val="28"/>
        </w:rPr>
        <w:t>第一部分 建设工程造价咨询合同</w:t>
      </w:r>
    </w:p>
    <w:p w14:paraId="5D3F162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58D96433">
      <w:pPr>
        <w:keepNext w:val="0"/>
        <w:keepLines w:val="0"/>
        <w:pageBreakBefore w:val="0"/>
        <w:kinsoku/>
        <w:wordWrap/>
        <w:overflowPunct/>
        <w:topLinePunct w:val="0"/>
        <w:autoSpaceDE/>
        <w:autoSpaceDN/>
        <w:bidi w:val="0"/>
        <w:adjustRightInd w:val="0"/>
        <w:snapToGrid w:val="0"/>
        <w:spacing w:after="40" w:line="400" w:lineRule="exact"/>
        <w:ind w:firstLine="560" w:firstLineChars="200"/>
        <w:textAlignment w:val="auto"/>
        <w:rPr>
          <w:rFonts w:hint="eastAsia" w:ascii="宋体" w:hAnsi="宋体" w:eastAsia="宋体" w:cs="宋体"/>
          <w:bCs/>
          <w:spacing w:val="-20"/>
          <w:kern w:val="0"/>
          <w:sz w:val="28"/>
          <w:szCs w:val="28"/>
        </w:rPr>
      </w:pPr>
      <w:r>
        <w:rPr>
          <w:rFonts w:hint="eastAsia" w:ascii="宋体" w:hAnsi="宋体" w:eastAsia="宋体" w:cs="宋体"/>
          <w:bCs/>
          <w:color w:val="000000" w:themeColor="text1"/>
          <w:sz w:val="28"/>
          <w:szCs w:val="28"/>
          <w14:textFill>
            <w14:solidFill>
              <w14:schemeClr w14:val="tx1"/>
            </w14:solidFill>
          </w14:textFill>
        </w:rPr>
        <w:t>【</w:t>
      </w:r>
      <w:permStart w:id="7" w:edGrp="everyone"/>
      <w:r>
        <w:rPr>
          <w:rFonts w:hint="eastAsia" w:ascii="宋体" w:hAnsi="宋体" w:eastAsia="宋体" w:cs="宋体"/>
          <w:bCs/>
          <w:color w:val="000000" w:themeColor="text1"/>
          <w:sz w:val="28"/>
          <w:szCs w:val="28"/>
          <w14:textFill>
            <w14:solidFill>
              <w14:schemeClr w14:val="tx1"/>
            </w14:solidFill>
          </w14:textFill>
        </w:rPr>
        <w:t>重庆两江新城城市运营管理有限公司</w:t>
      </w:r>
      <w:permEnd w:id="7"/>
      <w:r>
        <w:rPr>
          <w:rFonts w:hint="eastAsia" w:ascii="宋体" w:hAnsi="宋体" w:eastAsia="宋体" w:cs="宋体"/>
          <w:bCs/>
          <w:color w:val="000000" w:themeColor="text1"/>
          <w:sz w:val="28"/>
          <w:szCs w:val="28"/>
          <w14:textFill>
            <w14:solidFill>
              <w14:schemeClr w14:val="tx1"/>
            </w14:solidFill>
          </w14:textFill>
        </w:rPr>
        <w:t>】</w:t>
      </w:r>
      <w:r>
        <w:rPr>
          <w:rFonts w:hint="eastAsia" w:ascii="宋体" w:hAnsi="宋体" w:eastAsia="宋体" w:cs="宋体"/>
          <w:bCs/>
          <w:spacing w:val="-20"/>
          <w:kern w:val="0"/>
          <w:sz w:val="28"/>
          <w:szCs w:val="28"/>
        </w:rPr>
        <w:t>（以下简称委托人）与 【</w:t>
      </w:r>
      <w:permStart w:id="8" w:edGrp="everyone"/>
      <w:r>
        <w:rPr>
          <w:rFonts w:hint="eastAsia" w:ascii="宋体" w:hAnsi="宋体" w:eastAsia="宋体" w:cs="宋体"/>
          <w:bCs/>
          <w:spacing w:val="-20"/>
          <w:kern w:val="0"/>
          <w:sz w:val="28"/>
          <w:szCs w:val="28"/>
        </w:rPr>
        <w:t xml:space="preserve">  </w:t>
      </w:r>
      <w:permEnd w:id="8"/>
      <w:r>
        <w:rPr>
          <w:rFonts w:hint="eastAsia" w:ascii="宋体" w:hAnsi="宋体" w:eastAsia="宋体" w:cs="宋体"/>
          <w:bCs/>
          <w:spacing w:val="-20"/>
          <w:kern w:val="0"/>
          <w:sz w:val="28"/>
          <w:szCs w:val="28"/>
        </w:rPr>
        <w:t>】（以下简称咨询人）经过双方协商一致，签订本合同。</w:t>
      </w:r>
    </w:p>
    <w:p w14:paraId="2414FE4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一、委托人委托咨询人为以下项目提供建设工程造价咨询服务：</w:t>
      </w:r>
    </w:p>
    <w:p w14:paraId="5FB82E5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1.项目名称：【2026年第一批87个工程项目分包结算】                                                </w:t>
      </w:r>
    </w:p>
    <w:p w14:paraId="5BE2D79F">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2.服务类别：【</w:t>
      </w:r>
      <w:permStart w:id="9" w:edGrp="everyone"/>
      <w:r>
        <w:rPr>
          <w:rFonts w:hint="eastAsia" w:ascii="宋体" w:hAnsi="宋体" w:eastAsia="宋体" w:cs="宋体"/>
          <w:bCs/>
          <w:spacing w:val="-20"/>
          <w:kern w:val="0"/>
          <w:sz w:val="28"/>
          <w:szCs w:val="28"/>
        </w:rPr>
        <w:t>建设工程结算编制、审核(B类)</w:t>
      </w:r>
      <w:r>
        <w:rPr>
          <w:rFonts w:hint="eastAsia" w:ascii="宋体" w:hAnsi="宋体" w:eastAsia="宋体" w:cs="宋体"/>
          <w:bCs/>
          <w:spacing w:val="-20"/>
          <w:kern w:val="0"/>
          <w:sz w:val="28"/>
          <w:szCs w:val="28"/>
          <w:lang w:val="en-US" w:eastAsia="zh-CN"/>
        </w:rPr>
        <w:t>；</w:t>
      </w:r>
      <w:r>
        <w:rPr>
          <w:rFonts w:hint="eastAsia" w:ascii="宋体" w:hAnsi="宋体" w:eastAsia="宋体" w:cs="宋体"/>
          <w:b w:val="0"/>
          <w:bCs w:val="0"/>
          <w:sz w:val="28"/>
          <w:szCs w:val="28"/>
          <w:highlight w:val="none"/>
          <w:u w:val="none"/>
          <w:lang w:val="en-US" w:eastAsia="zh-CN"/>
        </w:rPr>
        <w:t>项目咨询建议报告</w:t>
      </w:r>
      <w:permEnd w:id="9"/>
      <w:r>
        <w:rPr>
          <w:rFonts w:hint="eastAsia" w:ascii="宋体" w:hAnsi="宋体" w:eastAsia="宋体" w:cs="宋体"/>
          <w:bCs/>
          <w:spacing w:val="-20"/>
          <w:kern w:val="0"/>
          <w:sz w:val="28"/>
          <w:szCs w:val="28"/>
        </w:rPr>
        <w:t>】</w:t>
      </w:r>
    </w:p>
    <w:p w14:paraId="46FA45D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二、本合同的措词和用语与所属建设工程造价咨询合同条件及有关附件同义。</w:t>
      </w:r>
    </w:p>
    <w:p w14:paraId="254578B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三、下列文件均为本合同的组成部分：</w:t>
      </w:r>
    </w:p>
    <w:p w14:paraId="0086C14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1.建设工程造价咨询合同标准条件；</w:t>
      </w:r>
    </w:p>
    <w:p w14:paraId="503832B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2.建设工程造价咨询合同专用条件；</w:t>
      </w:r>
    </w:p>
    <w:p w14:paraId="32DE8BB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3.建设工程造价咨询合同执行中共同签署的补充与修正文件。</w:t>
      </w:r>
    </w:p>
    <w:p w14:paraId="51C4186E">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四、咨询人同意按照本合同的规定，承担本合同专用条件中议定范围内的建设工程造价咨询业务。</w:t>
      </w:r>
    </w:p>
    <w:p w14:paraId="1CE9D0DC">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五、本工程送审金额【</w:t>
      </w:r>
      <w:permStart w:id="10" w:edGrp="everyone"/>
      <w:r>
        <w:rPr>
          <w:rFonts w:hint="eastAsia" w:ascii="宋体" w:hAnsi="宋体" w:eastAsia="宋体" w:cs="宋体"/>
          <w:bCs/>
          <w:spacing w:val="-20"/>
          <w:kern w:val="0"/>
          <w:sz w:val="28"/>
          <w:szCs w:val="28"/>
        </w:rPr>
        <w:t xml:space="preserve"> </w:t>
      </w:r>
      <w:permEnd w:id="10"/>
      <w:r>
        <w:rPr>
          <w:rFonts w:hint="eastAsia" w:ascii="宋体" w:hAnsi="宋体" w:eastAsia="宋体" w:cs="宋体"/>
          <w:bCs/>
          <w:spacing w:val="-20"/>
          <w:kern w:val="0"/>
          <w:sz w:val="28"/>
          <w:szCs w:val="28"/>
        </w:rPr>
        <w:t>】元，委托人同意咨询费根据【</w:t>
      </w:r>
      <w:permStart w:id="11" w:edGrp="everyone"/>
      <w:r>
        <w:rPr>
          <w:rFonts w:hint="eastAsia" w:ascii="宋体" w:hAnsi="宋体" w:eastAsia="宋体" w:cs="宋体"/>
          <w:bCs/>
          <w:spacing w:val="-20"/>
          <w:kern w:val="0"/>
          <w:sz w:val="28"/>
          <w:szCs w:val="28"/>
        </w:rPr>
        <w:t>按《两江新区政府投资项目工程建设其他费用计费指南》标准费率（计费依据按照渝价〔2013〕428 号文）</w:t>
      </w:r>
      <w:r>
        <w:rPr>
          <w:rFonts w:hint="eastAsia" w:ascii="宋体" w:hAnsi="宋体" w:eastAsia="宋体" w:cs="宋体"/>
          <w:bCs/>
          <w:spacing w:val="-20"/>
          <w:kern w:val="0"/>
          <w:sz w:val="28"/>
          <w:szCs w:val="28"/>
          <w:lang w:eastAsia="zh-CN"/>
        </w:rPr>
        <w:t>，</w:t>
      </w:r>
      <w:r>
        <w:rPr>
          <w:rFonts w:hint="eastAsia" w:ascii="宋体" w:hAnsi="宋体" w:eastAsia="宋体" w:cs="宋体"/>
          <w:bCs/>
          <w:spacing w:val="-20"/>
          <w:kern w:val="0"/>
          <w:sz w:val="28"/>
          <w:szCs w:val="28"/>
          <w:lang w:val="en-US" w:eastAsia="zh-CN"/>
        </w:rPr>
        <w:t>分项目结合中选折</w:t>
      </w:r>
      <w:r>
        <w:rPr>
          <w:rFonts w:hint="eastAsia" w:ascii="宋体" w:hAnsi="宋体" w:eastAsia="宋体" w:cs="宋体"/>
          <w:bCs/>
          <w:spacing w:val="-20"/>
          <w:kern w:val="0"/>
          <w:sz w:val="28"/>
          <w:szCs w:val="28"/>
        </w:rPr>
        <w:t>扣系数进行</w:t>
      </w:r>
      <w:permEnd w:id="11"/>
      <w:r>
        <w:rPr>
          <w:rFonts w:hint="eastAsia" w:ascii="宋体" w:hAnsi="宋体" w:eastAsia="宋体" w:cs="宋体"/>
          <w:bCs/>
          <w:spacing w:val="-20"/>
          <w:kern w:val="0"/>
          <w:sz w:val="28"/>
          <w:szCs w:val="28"/>
        </w:rPr>
        <w:t>】计算，咨询费=基本费。即：</w:t>
      </w:r>
    </w:p>
    <w:p w14:paraId="749A118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1.基本费（暂定）=【</w:t>
      </w:r>
      <w:permStart w:id="12" w:edGrp="everyone"/>
      <w:r>
        <w:rPr>
          <w:rFonts w:hint="eastAsia" w:ascii="宋体" w:hAnsi="宋体" w:eastAsia="宋体" w:cs="宋体"/>
          <w:bCs/>
          <w:spacing w:val="-20"/>
          <w:kern w:val="0"/>
          <w:sz w:val="28"/>
          <w:szCs w:val="28"/>
        </w:rPr>
        <w:t xml:space="preserve"> 标准基本费×</w:t>
      </w:r>
      <w:r>
        <w:rPr>
          <w:rFonts w:hint="eastAsia" w:ascii="宋体" w:hAnsi="宋体" w:eastAsia="宋体" w:cs="宋体"/>
          <w:bCs/>
          <w:spacing w:val="-20"/>
          <w:kern w:val="0"/>
          <w:sz w:val="28"/>
          <w:szCs w:val="28"/>
          <w:lang w:val="en-US" w:eastAsia="zh-CN"/>
        </w:rPr>
        <w:t>折扣系数</w:t>
      </w:r>
      <w:r>
        <w:rPr>
          <w:rFonts w:hint="eastAsia" w:ascii="宋体" w:hAnsi="宋体" w:eastAsia="宋体" w:cs="宋体"/>
          <w:bCs/>
          <w:spacing w:val="-20"/>
          <w:kern w:val="0"/>
          <w:sz w:val="28"/>
          <w:szCs w:val="28"/>
        </w:rPr>
        <w:t xml:space="preserve">%=**元 </w:t>
      </w:r>
      <w:permEnd w:id="12"/>
      <w:r>
        <w:rPr>
          <w:rFonts w:hint="eastAsia" w:ascii="宋体" w:hAnsi="宋体" w:eastAsia="宋体" w:cs="宋体"/>
          <w:bCs/>
          <w:spacing w:val="-20"/>
          <w:kern w:val="0"/>
          <w:sz w:val="28"/>
          <w:szCs w:val="28"/>
        </w:rPr>
        <w:t>】；</w:t>
      </w:r>
    </w:p>
    <w:p w14:paraId="6F89CFFC">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2.审减效益费（暂定）【</w:t>
      </w:r>
      <w:permStart w:id="13" w:edGrp="everyone"/>
      <w:r>
        <w:rPr>
          <w:rFonts w:hint="eastAsia" w:ascii="宋体" w:hAnsi="宋体" w:eastAsia="宋体" w:cs="宋体"/>
          <w:bCs/>
          <w:spacing w:val="-20"/>
          <w:kern w:val="0"/>
          <w:sz w:val="28"/>
          <w:szCs w:val="28"/>
          <w:lang w:val="en-US" w:eastAsia="zh-CN"/>
        </w:rPr>
        <w:t>无</w:t>
      </w:r>
      <w:permEnd w:id="13"/>
      <w:r>
        <w:rPr>
          <w:rFonts w:hint="eastAsia" w:ascii="宋体" w:hAnsi="宋体" w:eastAsia="宋体" w:cs="宋体"/>
          <w:bCs/>
          <w:spacing w:val="-20"/>
          <w:kern w:val="0"/>
          <w:sz w:val="28"/>
          <w:szCs w:val="28"/>
        </w:rPr>
        <w:t>】。</w:t>
      </w:r>
    </w:p>
    <w:p w14:paraId="005D51C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六、本合同的建设工程造价咨询业务审核时间为 【</w:t>
      </w:r>
      <w:permStart w:id="14" w:edGrp="everyone"/>
      <w:r>
        <w:rPr>
          <w:rFonts w:hint="eastAsia" w:ascii="宋体" w:hAnsi="宋体" w:eastAsia="宋体" w:cs="宋体"/>
          <w:bCs/>
          <w:spacing w:val="-20"/>
          <w:kern w:val="0"/>
          <w:sz w:val="28"/>
          <w:szCs w:val="28"/>
        </w:rPr>
        <w:t xml:space="preserve"> </w:t>
      </w:r>
      <w:r>
        <w:rPr>
          <w:rFonts w:hint="eastAsia" w:ascii="宋体" w:hAnsi="宋体" w:eastAsia="宋体" w:cs="宋体"/>
          <w:bCs/>
          <w:spacing w:val="-20"/>
          <w:kern w:val="0"/>
          <w:sz w:val="28"/>
          <w:szCs w:val="28"/>
          <w:lang w:val="en-US" w:eastAsia="zh-CN"/>
        </w:rPr>
        <w:t>90</w:t>
      </w:r>
      <w:r>
        <w:rPr>
          <w:rFonts w:hint="eastAsia" w:ascii="宋体" w:hAnsi="宋体" w:eastAsia="宋体" w:cs="宋体"/>
          <w:bCs/>
          <w:spacing w:val="-20"/>
          <w:kern w:val="0"/>
          <w:sz w:val="28"/>
          <w:szCs w:val="28"/>
        </w:rPr>
        <w:t xml:space="preserve"> </w:t>
      </w:r>
      <w:permEnd w:id="14"/>
      <w:r>
        <w:rPr>
          <w:rFonts w:hint="eastAsia" w:ascii="宋体" w:hAnsi="宋体" w:eastAsia="宋体" w:cs="宋体"/>
          <w:bCs/>
          <w:spacing w:val="-20"/>
          <w:kern w:val="0"/>
          <w:sz w:val="28"/>
          <w:szCs w:val="28"/>
        </w:rPr>
        <w:t>】日历天（传统春节和国庆节7天长假时间不计算在内），审核从【</w:t>
      </w:r>
      <w:permStart w:id="15" w:edGrp="everyone"/>
      <w:r>
        <w:rPr>
          <w:rFonts w:hint="eastAsia" w:ascii="宋体" w:hAnsi="宋体" w:eastAsia="宋体" w:cs="宋体"/>
          <w:bCs/>
          <w:spacing w:val="-20"/>
          <w:kern w:val="0"/>
          <w:sz w:val="28"/>
          <w:szCs w:val="28"/>
        </w:rPr>
        <w:t xml:space="preserve">  </w:t>
      </w:r>
      <w:permEnd w:id="15"/>
      <w:r>
        <w:rPr>
          <w:rFonts w:hint="eastAsia" w:ascii="宋体" w:hAnsi="宋体" w:eastAsia="宋体" w:cs="宋体"/>
          <w:bCs/>
          <w:spacing w:val="-20"/>
          <w:kern w:val="0"/>
          <w:sz w:val="28"/>
          <w:szCs w:val="28"/>
        </w:rPr>
        <w:t>】年【</w:t>
      </w:r>
      <w:permStart w:id="16" w:edGrp="everyone"/>
      <w:r>
        <w:rPr>
          <w:rFonts w:hint="eastAsia" w:ascii="宋体" w:hAnsi="宋体" w:eastAsia="宋体" w:cs="宋体"/>
          <w:bCs/>
          <w:spacing w:val="-20"/>
          <w:kern w:val="0"/>
          <w:sz w:val="28"/>
          <w:szCs w:val="28"/>
        </w:rPr>
        <w:t xml:space="preserve">  </w:t>
      </w:r>
      <w:permEnd w:id="16"/>
      <w:r>
        <w:rPr>
          <w:rFonts w:hint="eastAsia" w:ascii="宋体" w:hAnsi="宋体" w:eastAsia="宋体" w:cs="宋体"/>
          <w:bCs/>
          <w:spacing w:val="-20"/>
          <w:kern w:val="0"/>
          <w:sz w:val="28"/>
          <w:szCs w:val="28"/>
        </w:rPr>
        <w:t>】月【</w:t>
      </w:r>
      <w:permStart w:id="17" w:edGrp="everyone"/>
      <w:r>
        <w:rPr>
          <w:rFonts w:hint="eastAsia" w:ascii="宋体" w:hAnsi="宋体" w:eastAsia="宋体" w:cs="宋体"/>
          <w:bCs/>
          <w:spacing w:val="-20"/>
          <w:kern w:val="0"/>
          <w:sz w:val="28"/>
          <w:szCs w:val="28"/>
        </w:rPr>
        <w:t xml:space="preserve">  </w:t>
      </w:r>
      <w:permEnd w:id="17"/>
      <w:r>
        <w:rPr>
          <w:rFonts w:hint="eastAsia" w:ascii="宋体" w:hAnsi="宋体" w:eastAsia="宋体" w:cs="宋体"/>
          <w:bCs/>
          <w:spacing w:val="-20"/>
          <w:kern w:val="0"/>
          <w:sz w:val="28"/>
          <w:szCs w:val="28"/>
        </w:rPr>
        <w:t>】日开始实施，应于【</w:t>
      </w:r>
      <w:permStart w:id="18" w:edGrp="everyone"/>
      <w:r>
        <w:rPr>
          <w:rFonts w:hint="eastAsia" w:ascii="宋体" w:hAnsi="宋体" w:eastAsia="宋体" w:cs="宋体"/>
          <w:bCs/>
          <w:spacing w:val="-20"/>
          <w:kern w:val="0"/>
          <w:sz w:val="28"/>
          <w:szCs w:val="28"/>
        </w:rPr>
        <w:t xml:space="preserve">  </w:t>
      </w:r>
      <w:permEnd w:id="18"/>
      <w:r>
        <w:rPr>
          <w:rFonts w:hint="eastAsia" w:ascii="宋体" w:hAnsi="宋体" w:eastAsia="宋体" w:cs="宋体"/>
          <w:bCs/>
          <w:spacing w:val="-20"/>
          <w:kern w:val="0"/>
          <w:sz w:val="28"/>
          <w:szCs w:val="28"/>
        </w:rPr>
        <w:t>】年 【</w:t>
      </w:r>
      <w:permStart w:id="19" w:edGrp="everyone"/>
      <w:r>
        <w:rPr>
          <w:rFonts w:hint="eastAsia" w:ascii="宋体" w:hAnsi="宋体" w:eastAsia="宋体" w:cs="宋体"/>
          <w:bCs/>
          <w:spacing w:val="-20"/>
          <w:kern w:val="0"/>
          <w:sz w:val="28"/>
          <w:szCs w:val="28"/>
        </w:rPr>
        <w:t xml:space="preserve">  </w:t>
      </w:r>
      <w:permEnd w:id="19"/>
      <w:r>
        <w:rPr>
          <w:rFonts w:hint="eastAsia" w:ascii="宋体" w:hAnsi="宋体" w:eastAsia="宋体" w:cs="宋体"/>
          <w:bCs/>
          <w:spacing w:val="-20"/>
          <w:kern w:val="0"/>
          <w:sz w:val="28"/>
          <w:szCs w:val="28"/>
        </w:rPr>
        <w:t>】月【</w:t>
      </w:r>
      <w:permStart w:id="20" w:edGrp="everyone"/>
      <w:r>
        <w:rPr>
          <w:rFonts w:hint="eastAsia" w:ascii="宋体" w:hAnsi="宋体" w:eastAsia="宋体" w:cs="宋体"/>
          <w:bCs/>
          <w:spacing w:val="-20"/>
          <w:kern w:val="0"/>
          <w:sz w:val="28"/>
          <w:szCs w:val="28"/>
        </w:rPr>
        <w:t xml:space="preserve">  </w:t>
      </w:r>
      <w:permEnd w:id="20"/>
      <w:r>
        <w:rPr>
          <w:rFonts w:hint="eastAsia" w:ascii="宋体" w:hAnsi="宋体" w:eastAsia="宋体" w:cs="宋体"/>
          <w:bCs/>
          <w:spacing w:val="-20"/>
          <w:kern w:val="0"/>
          <w:sz w:val="28"/>
          <w:szCs w:val="28"/>
        </w:rPr>
        <w:t>】日前完成初步审核报告（征求意见稿），至【</w:t>
      </w:r>
      <w:permStart w:id="21" w:edGrp="everyone"/>
      <w:r>
        <w:rPr>
          <w:rFonts w:hint="eastAsia" w:ascii="宋体" w:hAnsi="宋体" w:eastAsia="宋体" w:cs="宋体"/>
          <w:bCs/>
          <w:spacing w:val="-20"/>
          <w:kern w:val="0"/>
          <w:sz w:val="28"/>
          <w:szCs w:val="28"/>
        </w:rPr>
        <w:t xml:space="preserve">  </w:t>
      </w:r>
      <w:permEnd w:id="21"/>
      <w:r>
        <w:rPr>
          <w:rFonts w:hint="eastAsia" w:ascii="宋体" w:hAnsi="宋体" w:eastAsia="宋体" w:cs="宋体"/>
          <w:bCs/>
          <w:spacing w:val="-20"/>
          <w:kern w:val="0"/>
          <w:sz w:val="28"/>
          <w:szCs w:val="28"/>
        </w:rPr>
        <w:t>】年【</w:t>
      </w:r>
      <w:permStart w:id="22" w:edGrp="everyone"/>
      <w:r>
        <w:rPr>
          <w:rFonts w:hint="eastAsia" w:ascii="宋体" w:hAnsi="宋体" w:eastAsia="宋体" w:cs="宋体"/>
          <w:bCs/>
          <w:spacing w:val="-20"/>
          <w:kern w:val="0"/>
          <w:sz w:val="28"/>
          <w:szCs w:val="28"/>
        </w:rPr>
        <w:t xml:space="preserve">  </w:t>
      </w:r>
      <w:permEnd w:id="22"/>
      <w:r>
        <w:rPr>
          <w:rFonts w:hint="eastAsia" w:ascii="宋体" w:hAnsi="宋体" w:eastAsia="宋体" w:cs="宋体"/>
          <w:bCs/>
          <w:spacing w:val="-20"/>
          <w:kern w:val="0"/>
          <w:sz w:val="28"/>
          <w:szCs w:val="28"/>
        </w:rPr>
        <w:t>】月【</w:t>
      </w:r>
      <w:permStart w:id="23" w:edGrp="everyone"/>
      <w:r>
        <w:rPr>
          <w:rFonts w:hint="eastAsia" w:ascii="宋体" w:hAnsi="宋体" w:eastAsia="宋体" w:cs="宋体"/>
          <w:bCs/>
          <w:spacing w:val="-20"/>
          <w:kern w:val="0"/>
          <w:sz w:val="28"/>
          <w:szCs w:val="28"/>
        </w:rPr>
        <w:t xml:space="preserve">  </w:t>
      </w:r>
      <w:permEnd w:id="23"/>
      <w:r>
        <w:rPr>
          <w:rFonts w:hint="eastAsia" w:ascii="宋体" w:hAnsi="宋体" w:eastAsia="宋体" w:cs="宋体"/>
          <w:bCs/>
          <w:spacing w:val="-20"/>
          <w:kern w:val="0"/>
          <w:sz w:val="28"/>
          <w:szCs w:val="28"/>
        </w:rPr>
        <w:t>】日前完成并出具审核报告。如因资料不齐、补报资料不及时、重大争议问题等非咨询人原因造成的时间延误，咨询人提出申请，经委托人同意后，审核时间相应顺延。</w:t>
      </w:r>
    </w:p>
    <w:p w14:paraId="2440510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七、本合同一式【</w:t>
      </w:r>
      <w:permStart w:id="24" w:edGrp="everyone"/>
      <w:r>
        <w:rPr>
          <w:rFonts w:hint="eastAsia" w:ascii="宋体" w:hAnsi="宋体" w:eastAsia="宋体" w:cs="宋体"/>
          <w:bCs/>
          <w:spacing w:val="-20"/>
          <w:kern w:val="0"/>
          <w:sz w:val="28"/>
          <w:szCs w:val="28"/>
          <w:lang w:val="en-US" w:eastAsia="zh-CN"/>
        </w:rPr>
        <w:t>肆</w:t>
      </w:r>
      <w:permEnd w:id="24"/>
      <w:r>
        <w:rPr>
          <w:rFonts w:hint="eastAsia" w:ascii="宋体" w:hAnsi="宋体" w:eastAsia="宋体" w:cs="宋体"/>
          <w:bCs/>
          <w:spacing w:val="-20"/>
          <w:kern w:val="0"/>
          <w:sz w:val="28"/>
          <w:szCs w:val="28"/>
        </w:rPr>
        <w:t>】份，具有同等法律效力，委托人【</w:t>
      </w:r>
      <w:permStart w:id="25" w:edGrp="everyone"/>
      <w:r>
        <w:rPr>
          <w:rFonts w:hint="eastAsia" w:ascii="宋体" w:hAnsi="宋体" w:eastAsia="宋体" w:cs="宋体"/>
          <w:bCs/>
          <w:spacing w:val="-20"/>
          <w:kern w:val="0"/>
          <w:sz w:val="28"/>
          <w:szCs w:val="28"/>
          <w:lang w:val="en-US" w:eastAsia="zh-CN"/>
        </w:rPr>
        <w:t>叁</w:t>
      </w:r>
      <w:permEnd w:id="25"/>
      <w:r>
        <w:rPr>
          <w:rFonts w:hint="eastAsia" w:ascii="宋体" w:hAnsi="宋体" w:eastAsia="宋体" w:cs="宋体"/>
          <w:bCs/>
          <w:spacing w:val="-20"/>
          <w:kern w:val="0"/>
          <w:sz w:val="28"/>
          <w:szCs w:val="28"/>
        </w:rPr>
        <w:t>】份，咨询人【</w:t>
      </w:r>
      <w:permStart w:id="26" w:edGrp="everyone"/>
      <w:r>
        <w:rPr>
          <w:rFonts w:hint="eastAsia" w:ascii="宋体" w:hAnsi="宋体" w:eastAsia="宋体" w:cs="宋体"/>
          <w:bCs/>
          <w:spacing w:val="-20"/>
          <w:kern w:val="0"/>
          <w:sz w:val="28"/>
          <w:szCs w:val="28"/>
        </w:rPr>
        <w:t xml:space="preserve"> 壹 </w:t>
      </w:r>
      <w:permEnd w:id="26"/>
      <w:r>
        <w:rPr>
          <w:rFonts w:hint="eastAsia" w:ascii="宋体" w:hAnsi="宋体" w:eastAsia="宋体" w:cs="宋体"/>
          <w:bCs/>
          <w:spacing w:val="-20"/>
          <w:kern w:val="0"/>
          <w:sz w:val="28"/>
          <w:szCs w:val="28"/>
        </w:rPr>
        <w:t>】份。</w:t>
      </w:r>
    </w:p>
    <w:p w14:paraId="4E6AB5E1">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534C097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2ED06982">
      <w:pPr>
        <w:pStyle w:val="5"/>
        <w:keepNext w:val="0"/>
        <w:keepLines w:val="0"/>
        <w:pageBreakBefore w:val="0"/>
        <w:kinsoku/>
        <w:wordWrap/>
        <w:overflowPunct/>
        <w:topLinePunct w:val="0"/>
        <w:autoSpaceDE/>
        <w:autoSpaceDN/>
        <w:bidi w:val="0"/>
        <w:ind w:firstLine="480" w:firstLineChars="200"/>
        <w:textAlignment w:val="auto"/>
        <w:rPr>
          <w:rFonts w:hint="eastAsia" w:ascii="宋体" w:hAnsi="宋体" w:eastAsia="宋体" w:cs="宋体"/>
          <w:bCs/>
          <w:spacing w:val="-20"/>
          <w:kern w:val="0"/>
          <w:sz w:val="28"/>
          <w:szCs w:val="28"/>
        </w:rPr>
      </w:pPr>
    </w:p>
    <w:p w14:paraId="106353C8">
      <w:pPr>
        <w:keepNext w:val="0"/>
        <w:keepLines w:val="0"/>
        <w:pageBreakBefore w:val="0"/>
        <w:kinsoku/>
        <w:wordWrap/>
        <w:overflowPunct/>
        <w:topLinePunct w:val="0"/>
        <w:autoSpaceDE/>
        <w:autoSpaceDN/>
        <w:bidi w:val="0"/>
        <w:ind w:firstLine="480" w:firstLineChars="200"/>
        <w:textAlignment w:val="auto"/>
        <w:rPr>
          <w:rFonts w:hint="eastAsia" w:ascii="宋体" w:hAnsi="宋体" w:eastAsia="宋体" w:cs="宋体"/>
          <w:bCs/>
          <w:spacing w:val="-20"/>
          <w:kern w:val="0"/>
          <w:sz w:val="28"/>
          <w:szCs w:val="28"/>
        </w:rPr>
      </w:pPr>
    </w:p>
    <w:p w14:paraId="411DABBD">
      <w:pPr>
        <w:pStyle w:val="5"/>
        <w:keepNext w:val="0"/>
        <w:keepLines w:val="0"/>
        <w:pageBreakBefore w:val="0"/>
        <w:kinsoku/>
        <w:wordWrap/>
        <w:overflowPunct/>
        <w:topLinePunct w:val="0"/>
        <w:autoSpaceDE/>
        <w:autoSpaceDN/>
        <w:bidi w:val="0"/>
        <w:ind w:firstLine="480" w:firstLineChars="200"/>
        <w:textAlignment w:val="auto"/>
        <w:rPr>
          <w:rFonts w:hint="eastAsia" w:ascii="宋体" w:hAnsi="宋体" w:eastAsia="宋体" w:cs="宋体"/>
          <w:bCs/>
          <w:spacing w:val="-20"/>
          <w:kern w:val="0"/>
          <w:sz w:val="28"/>
          <w:szCs w:val="28"/>
        </w:rPr>
      </w:pPr>
    </w:p>
    <w:p w14:paraId="5F520BE0">
      <w:pPr>
        <w:keepNext w:val="0"/>
        <w:keepLines w:val="0"/>
        <w:pageBreakBefore w:val="0"/>
        <w:kinsoku/>
        <w:wordWrap/>
        <w:overflowPunct/>
        <w:topLinePunct w:val="0"/>
        <w:autoSpaceDE/>
        <w:autoSpaceDN/>
        <w:bidi w:val="0"/>
        <w:ind w:firstLine="420" w:firstLineChars="200"/>
        <w:textAlignment w:val="auto"/>
        <w:rPr>
          <w:rFonts w:hint="eastAsia"/>
        </w:rPr>
      </w:pPr>
    </w:p>
    <w:p w14:paraId="542E366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320F770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委托人(盖章)</w:t>
      </w:r>
      <w:r>
        <w:rPr>
          <w:rFonts w:hint="eastAsia" w:ascii="宋体" w:hAnsi="宋体" w:eastAsia="宋体" w:cs="宋体"/>
          <w:bCs/>
          <w:spacing w:val="-20"/>
          <w:kern w:val="0"/>
          <w:sz w:val="28"/>
          <w:szCs w:val="28"/>
          <w:lang w:eastAsia="zh-CN"/>
        </w:rPr>
        <w:t>：</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咨询人(盖章)：</w:t>
      </w:r>
    </w:p>
    <w:p w14:paraId="01B8BF2B">
      <w:pPr>
        <w:keepNext w:val="0"/>
        <w:keepLines w:val="0"/>
        <w:pageBreakBefore w:val="0"/>
        <w:kinsoku/>
        <w:wordWrap/>
        <w:overflowPunct/>
        <w:topLinePunct w:val="0"/>
        <w:autoSpaceDE/>
        <w:autoSpaceDN/>
        <w:bidi w:val="0"/>
        <w:adjustRightInd w:val="0"/>
        <w:snapToGrid w:val="0"/>
        <w:spacing w:after="40"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重庆两江新城城市</w:t>
      </w:r>
    </w:p>
    <w:p w14:paraId="35498364">
      <w:pPr>
        <w:keepNext w:val="0"/>
        <w:keepLines w:val="0"/>
        <w:pageBreakBefore w:val="0"/>
        <w:kinsoku/>
        <w:wordWrap/>
        <w:overflowPunct/>
        <w:topLinePunct w:val="0"/>
        <w:autoSpaceDE/>
        <w:autoSpaceDN/>
        <w:bidi w:val="0"/>
        <w:adjustRightInd w:val="0"/>
        <w:snapToGrid w:val="0"/>
        <w:spacing w:after="40"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运营管理有限公司</w:t>
      </w:r>
    </w:p>
    <w:p w14:paraId="4D6F71C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color w:val="000000" w:themeColor="text1"/>
          <w:spacing w:val="-20"/>
          <w:sz w:val="28"/>
          <w:szCs w:val="28"/>
          <w14:textFill>
            <w14:solidFill>
              <w14:schemeClr w14:val="tx1"/>
            </w14:solidFill>
          </w14:textFill>
        </w:rPr>
        <w:t>（合同专用章）</w:t>
      </w:r>
      <w:r>
        <w:rPr>
          <w:rFonts w:hint="eastAsia" w:ascii="宋体" w:hAnsi="宋体" w:eastAsia="宋体" w:cs="宋体"/>
          <w:bCs/>
          <w:spacing w:val="-20"/>
          <w:kern w:val="0"/>
          <w:sz w:val="28"/>
          <w:szCs w:val="28"/>
        </w:rPr>
        <w:t xml:space="preserve">                   </w:t>
      </w:r>
    </w:p>
    <w:p w14:paraId="44F31113">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533E581A">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法定代表人(签章)：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法定代表人(签章)：</w:t>
      </w:r>
    </w:p>
    <w:p w14:paraId="2F67BAF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或委托代表人(签章)：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或委托代表人(签章)：</w:t>
      </w:r>
    </w:p>
    <w:p w14:paraId="487ED25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5CA78D01">
      <w:pPr>
        <w:pStyle w:val="5"/>
        <w:keepNext w:val="0"/>
        <w:keepLines w:val="0"/>
        <w:pageBreakBefore w:val="0"/>
        <w:kinsoku/>
        <w:wordWrap/>
        <w:overflowPunct/>
        <w:topLinePunct w:val="0"/>
        <w:autoSpaceDE/>
        <w:autoSpaceDN/>
        <w:bidi w:val="0"/>
        <w:spacing w:line="400" w:lineRule="exact"/>
        <w:ind w:firstLine="520" w:firstLineChars="200"/>
        <w:textAlignment w:val="auto"/>
        <w:rPr>
          <w:rFonts w:hint="eastAsia"/>
        </w:rPr>
      </w:pPr>
    </w:p>
    <w:p w14:paraId="5FEA1C2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住所：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 xml:space="preserve">住所： </w:t>
      </w:r>
    </w:p>
    <w:p w14:paraId="7578B68C">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开户银行：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 xml:space="preserve">  开户银行： </w:t>
      </w:r>
    </w:p>
    <w:p w14:paraId="0E93923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帐号：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 xml:space="preserve">帐号： </w:t>
      </w:r>
    </w:p>
    <w:p w14:paraId="507C6C9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邮政编码：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邮政编码：</w:t>
      </w:r>
    </w:p>
    <w:p w14:paraId="54C8399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电话：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 xml:space="preserve">电话： </w:t>
      </w:r>
    </w:p>
    <w:p w14:paraId="695F361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传真：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 xml:space="preserve">传真：  </w:t>
      </w:r>
    </w:p>
    <w:p w14:paraId="6034105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电子信箱：                         </w:t>
      </w:r>
      <w:r>
        <w:rPr>
          <w:rFonts w:hint="eastAsia" w:ascii="宋体" w:hAnsi="宋体" w:eastAsia="宋体" w:cs="宋体"/>
          <w:bCs/>
          <w:spacing w:val="-20"/>
          <w:kern w:val="0"/>
          <w:sz w:val="28"/>
          <w:szCs w:val="28"/>
          <w:lang w:val="en-US" w:eastAsia="zh-CN"/>
        </w:rPr>
        <w:t xml:space="preserve">   </w:t>
      </w:r>
      <w:r>
        <w:rPr>
          <w:rFonts w:hint="eastAsia" w:ascii="宋体" w:hAnsi="宋体" w:eastAsia="宋体" w:cs="宋体"/>
          <w:bCs/>
          <w:spacing w:val="-20"/>
          <w:kern w:val="0"/>
          <w:sz w:val="28"/>
          <w:szCs w:val="28"/>
        </w:rPr>
        <w:t xml:space="preserve">  电子信箱：</w:t>
      </w:r>
    </w:p>
    <w:p w14:paraId="6963FA4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099DF06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6B83CF14">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br w:type="page"/>
      </w:r>
      <w:r>
        <w:rPr>
          <w:rFonts w:hint="eastAsia" w:ascii="方正小标宋_GBK" w:hAnsi="方正小标宋_GBK" w:eastAsia="方正小标宋_GBK" w:cs="方正小标宋_GBK"/>
          <w:bCs/>
          <w:spacing w:val="-20"/>
          <w:kern w:val="0"/>
          <w:sz w:val="28"/>
          <w:szCs w:val="28"/>
        </w:rPr>
        <w:t>第二部分 建设工程造价咨询合同标准条件</w:t>
      </w:r>
    </w:p>
    <w:p w14:paraId="1E1B7AB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337768EA">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词语定义、适用语言和法律、法规</w:t>
      </w:r>
    </w:p>
    <w:p w14:paraId="6A4CDFBD">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第一条　下列名词和用语，除上下文另有规定外具有如下含义。</w:t>
      </w:r>
    </w:p>
    <w:p w14:paraId="67F9A7D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1.“委托人”是指委托建设工程造价咨询业务和聘用工程造价咨询单位的一方，以及其合法继承人。</w:t>
      </w:r>
    </w:p>
    <w:p w14:paraId="57BE0A2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2.“咨询人”是指承担建设工程造价咨询业务和工程造价咨询责任的一方，以及其合法继承人。</w:t>
      </w:r>
    </w:p>
    <w:p w14:paraId="174A302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3.“第三人”是指作委托人、咨询人以外与本咨询业务有关的当事人。</w:t>
      </w:r>
    </w:p>
    <w:p w14:paraId="727A3FC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4.“日”是指任何一天零时至第二天零时的时间段。</w:t>
      </w:r>
    </w:p>
    <w:p w14:paraId="4F8814E3">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第二条　建设工程造价咨询合同适用的是中国的法律、法规，以及专用条件中议定的部门规章、工程造价有关计价办法和规定或项目所在地的地方法规、地方规章。</w:t>
      </w:r>
    </w:p>
    <w:p w14:paraId="74F975B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第三条　建设工程造价咨询合同的书写、解释和说明，以汉语为主导语言。当不同语言文本发生不同解释时，以汉语合同文本为准。</w:t>
      </w:r>
    </w:p>
    <w:p w14:paraId="5874BD95">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咨询人的义务</w:t>
      </w:r>
    </w:p>
    <w:p w14:paraId="6403DAA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第四条　向委托人提供与工程造价咨询业务有关的资料，包括工程造价咨询的资质证书及承担本合同业务的专业人员名单、咨询工作计划等，并按合同专用条件中约定的范围实施咨询业务。</w:t>
      </w:r>
    </w:p>
    <w:p w14:paraId="7ADC6D1D">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第五条　咨询人在履行本合同期间，向委托人提供的服务包括正常服务、附加服务和额外服务。</w:t>
      </w:r>
    </w:p>
    <w:p w14:paraId="56A77B41">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1.“正常服务”是指双方在专用条件中约定的工程造价咨询工作；</w:t>
      </w:r>
    </w:p>
    <w:p w14:paraId="693EAB6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2.“附加服务”是指在“正常服务”以外，经双方书面协议确定的附加服务；</w:t>
      </w:r>
    </w:p>
    <w:p w14:paraId="4A7F6E6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3.“额外服务”是指不属于“正常服务”和“附加服务”，但根据合同标准条件第十三条、第二十条和二十二条的规定，咨询人应增加的额外工作量。</w:t>
      </w:r>
    </w:p>
    <w:p w14:paraId="561CBF8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第六条　在履行合同期间或合同规定期限内，不得泄露与本合同规定业务活动有关的保密资料。</w:t>
      </w:r>
    </w:p>
    <w:p w14:paraId="74AEC02E">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委托人的义务</w:t>
      </w:r>
    </w:p>
    <w:p w14:paraId="4F63A95C">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第七条　委托人应负责与本建设工程造价咨询业务有关的第三人的协调，为咨询人工作提供外部条件。</w:t>
      </w:r>
    </w:p>
    <w:p w14:paraId="7C1923F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第八条　委托人应当在约定的时间内，免费向咨询人提供与本项目咨询业务有关的资料。</w:t>
      </w:r>
    </w:p>
    <w:p w14:paraId="09040B6A">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第九条　委托人应当在约定的时间内就咨询人书面提交并要求做出答复的事宜做出书面答复。咨询人要求第三人提供有关资料时，委托人应负责转达及资料转送。</w:t>
      </w:r>
    </w:p>
    <w:p w14:paraId="1469848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第十条　委托人应当授权胜任本咨询业务的代表，负责与咨询人联系。</w:t>
      </w:r>
    </w:p>
    <w:p w14:paraId="6E246FB4">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咨询人的权利</w:t>
      </w:r>
    </w:p>
    <w:p w14:paraId="77108423">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第十一条   委托人在委托的建设工程造价咨询业务范围内，授予咨询人以下权利：</w:t>
      </w:r>
    </w:p>
    <w:p w14:paraId="07D9858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    1.咨询人在咨询过程中，如委托人提供的资料不明确时可向委托人提出书面报告。</w:t>
      </w:r>
    </w:p>
    <w:p w14:paraId="598801A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    2.咨询人在咨询过程中，有权对第三人提出与本咨询业务有关的问题进行核对或查问。</w:t>
      </w:r>
    </w:p>
    <w:p w14:paraId="1ED6EDD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    3.咨询人在咨询过程中，有到工程现场勘察的权利。</w:t>
      </w:r>
    </w:p>
    <w:p w14:paraId="764C6F4B">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委托人的权利</w:t>
      </w:r>
    </w:p>
    <w:p w14:paraId="1890180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第十二条   委托人有下列权利：</w:t>
      </w:r>
    </w:p>
    <w:p w14:paraId="4B93160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    1.委托人有权向咨询人询问工作进展情况及相关的内容。</w:t>
      </w:r>
    </w:p>
    <w:p w14:paraId="62D15EC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    2.委托人有权阐述对具体问题的意见和建议。</w:t>
      </w:r>
    </w:p>
    <w:p w14:paraId="3A3DEB0A">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    3.当委托人认定咨询专业人员不按咨询合同履行其职责，或与第三人串通给委托人造成经济损失的，委托人有权要求更换咨询专业人员，直至终止合同并要求咨询人承担相应的赔偿责任。</w:t>
      </w:r>
    </w:p>
    <w:p w14:paraId="77342D87">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咨询人的责任</w:t>
      </w:r>
    </w:p>
    <w:p w14:paraId="5D16FA1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第十三条   咨询人的责任期即建设工程造价咨询合同有效期。如因非咨询人的责任造成进度的推迟或延误而超过约定的日期，双方应进一步约定相应延长合同有效期。</w:t>
      </w:r>
    </w:p>
    <w:p w14:paraId="464984BA">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第十四条   咨询人责任期内，应当履行建设工程造价咨询合同中约定的义务，因咨询人的单方过失造成的经济损失，应当向委托人进行赔偿。累计赔偿总额不应超过建设工程造价咨询酬金总额（除去税金）。</w:t>
      </w:r>
    </w:p>
    <w:p w14:paraId="72A62E6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第十五条   咨询人对委托人或第三人所提出的问题不能及时核对或答复，导致合同不能全部或部分履行，咨询人应承担责任。</w:t>
      </w:r>
    </w:p>
    <w:p w14:paraId="1CEF858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第十六条   咨询人向委托人提出赔偿要求不能成立时，则应补偿由于该赔偿或其他要求所导致委托人的各种费用的支出。</w:t>
      </w:r>
    </w:p>
    <w:p w14:paraId="226AAE7F">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委托人的责任</w:t>
      </w:r>
    </w:p>
    <w:p w14:paraId="19BCC58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第十七条   委托人应当履行建设工程造价咨询合同约定的义务，如有违反则应当承担违约责任，赔偿给咨询人造成的损失。</w:t>
      </w:r>
    </w:p>
    <w:p w14:paraId="4A6AFCCA">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第十八条   委托人如果向咨询人提出赔偿或其他要求不能成立时，则应补偿由于该赔偿或其他要求所导致咨询人的各种费用的支出。</w:t>
      </w:r>
    </w:p>
    <w:p w14:paraId="2C6330C0">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合同生效，变更与终止</w:t>
      </w:r>
    </w:p>
    <w:p w14:paraId="565B591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第十九条   本合同自双方签字盖章之日起生效。</w:t>
      </w:r>
    </w:p>
    <w:p w14:paraId="1BE2896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第二十条   由于委托人或第三人的原因使咨询人工作受到阻碍或延误以致增加了工作量或持续时间，则咨询人应当将此情况与可能产生的影响及时书面通知委托人。由此增加的工作量视为额外服务，完成建设工程造价咨询工作的时间应当相应延长，并得到额外的酬金。</w:t>
      </w:r>
    </w:p>
    <w:p w14:paraId="2617CF4D">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第二十一条   当事人一方要求变更或解除合同时，则应当在14日前书面通知对方；因变更或解除合同使一方遭受损失的，应由责任方负责赔偿。</w:t>
      </w:r>
    </w:p>
    <w:p w14:paraId="3409C38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第二十二条   咨询人由于非自身原因暂停或终止执行建设工程造价咨询业务，由此而增加的恢复执行建设工程造价咨询业务的工作，应视为额外服务，有权得到额外的时间和酬金。</w:t>
      </w:r>
    </w:p>
    <w:p w14:paraId="63D079F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第二十三条   变更或解除合同的通知或协议应当采取书面形式，新的协议未达成之前，原合同仍然有效。</w:t>
      </w:r>
    </w:p>
    <w:p w14:paraId="6355DC86">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咨询业务酬金</w:t>
      </w:r>
    </w:p>
    <w:p w14:paraId="086EA08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第二十四条   正常的建设工程造价咨询业务，附加工作和额外工作的酬金，按照建设工程造价咨询合同专用条件约定的方法计取，并按约定的时间和数额支付。</w:t>
      </w:r>
    </w:p>
    <w:p w14:paraId="6AD59F3A">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第二十五条   如果委托人在规定的支付期限内未支付建设工程造价咨询酬金，自规定支付之日起，应当向咨询人补偿应支付的酬金利息。利息额按规定支付期限最后一日银行活期贷款乘以拖欠酬金时间计算。</w:t>
      </w:r>
    </w:p>
    <w:p w14:paraId="5946640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第二十六条   如果委托人对咨询人提交的支付通知书中酬金或部分酬金项目提出异议，应当在收到支付通知书两日内向咨询人发出异议的通知，但委托人不得拖延其无异议酬金项目的支付。</w:t>
      </w:r>
    </w:p>
    <w:p w14:paraId="73CCBB9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第二十七条   支付建设工程造价咨询酬金所采取的货币币种、汇率由合同专用条件约定。</w:t>
      </w:r>
    </w:p>
    <w:p w14:paraId="483DEE18">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其　他</w:t>
      </w:r>
    </w:p>
    <w:p w14:paraId="42E81F93">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第二十八条   因建设工程造价咨询业务的需要，咨询人在合同约定外的外出考察，经委托人同意，其所需费用由委托人负责。</w:t>
      </w:r>
    </w:p>
    <w:p w14:paraId="0082E76F">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第二十九条 咨询人如需外聘专家协助，在委托的建设工程造价咨询业务范围内其费用由咨询人承担；在委托的建设工程造价咨询业务范围以外经委托人认可其费用由委托人承担。</w:t>
      </w:r>
    </w:p>
    <w:p w14:paraId="27391D1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第三十条 未经对方的书面同意，各方均不得转让合同约定的权利和义务。</w:t>
      </w:r>
    </w:p>
    <w:p w14:paraId="058E4E7F">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第三十一条  除委托人书面同意外，咨询人及咨询专业人员不应接受建设工程造价咨询合同约定以外的与工程造价咨询项目有关的任何报酬。</w:t>
      </w:r>
    </w:p>
    <w:p w14:paraId="39E9466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咨询人不得参与可能与合同规定的与委托人利益相冲突的任何活动。</w:t>
      </w:r>
    </w:p>
    <w:p w14:paraId="341A4BA5">
      <w:pPr>
        <w:keepNext w:val="0"/>
        <w:keepLines w:val="0"/>
        <w:pageBreakBefore w:val="0"/>
        <w:kinsoku/>
        <w:wordWrap/>
        <w:overflowPunct/>
        <w:topLinePunct w:val="0"/>
        <w:autoSpaceDE/>
        <w:autoSpaceDN/>
        <w:bidi w:val="0"/>
        <w:adjustRightInd w:val="0"/>
        <w:snapToGrid w:val="0"/>
        <w:spacing w:after="40" w:line="400" w:lineRule="exact"/>
        <w:ind w:firstLine="482" w:firstLineChars="200"/>
        <w:textAlignment w:val="auto"/>
        <w:rPr>
          <w:rFonts w:hint="eastAsia" w:ascii="宋体" w:hAnsi="宋体" w:eastAsia="宋体" w:cs="宋体"/>
          <w:b/>
          <w:spacing w:val="-20"/>
          <w:kern w:val="0"/>
          <w:sz w:val="28"/>
          <w:szCs w:val="28"/>
        </w:rPr>
      </w:pPr>
      <w:r>
        <w:rPr>
          <w:rFonts w:hint="eastAsia" w:ascii="宋体" w:hAnsi="宋体" w:eastAsia="宋体" w:cs="宋体"/>
          <w:b/>
          <w:spacing w:val="-20"/>
          <w:kern w:val="0"/>
          <w:sz w:val="28"/>
          <w:szCs w:val="28"/>
        </w:rPr>
        <w:t>合同争议的解决</w:t>
      </w:r>
    </w:p>
    <w:p w14:paraId="7BEEB78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第三十二条 因违约或终止合同而引起的损失和损害的赔偿，委托人与咨询人之间应当协商解决；协商解决不成的，可向委托人所在地有管辖权的人民法院提起诉讼。</w:t>
      </w:r>
    </w:p>
    <w:p w14:paraId="0BD2DCBF">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方正小标宋_GBK" w:hAnsi="方正小标宋_GBK" w:eastAsia="方正小标宋_GBK" w:cs="方正小标宋_GBK"/>
          <w:bCs/>
          <w:spacing w:val="-20"/>
          <w:kern w:val="0"/>
          <w:sz w:val="28"/>
          <w:szCs w:val="28"/>
        </w:rPr>
      </w:pPr>
    </w:p>
    <w:p w14:paraId="542F0F4A">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方正小标宋_GBK" w:hAnsi="方正小标宋_GBK" w:eastAsia="方正小标宋_GBK" w:cs="方正小标宋_GBK"/>
          <w:bCs/>
          <w:spacing w:val="-20"/>
          <w:kern w:val="0"/>
          <w:sz w:val="28"/>
          <w:szCs w:val="28"/>
        </w:rPr>
      </w:pPr>
    </w:p>
    <w:p w14:paraId="5AD55DCB">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方正小标宋_GBK" w:hAnsi="方正小标宋_GBK" w:eastAsia="方正小标宋_GBK" w:cs="方正小标宋_GBK"/>
          <w:bCs/>
          <w:spacing w:val="-20"/>
          <w:kern w:val="0"/>
          <w:sz w:val="28"/>
          <w:szCs w:val="28"/>
        </w:rPr>
      </w:pPr>
    </w:p>
    <w:p w14:paraId="3AD39580">
      <w:pPr>
        <w:keepNext w:val="0"/>
        <w:keepLines w:val="0"/>
        <w:pageBreakBefore w:val="0"/>
        <w:kinsoku/>
        <w:wordWrap/>
        <w:overflowPunct/>
        <w:topLinePunct w:val="0"/>
        <w:autoSpaceDE/>
        <w:autoSpaceDN/>
        <w:bidi w:val="0"/>
        <w:adjustRightInd w:val="0"/>
        <w:snapToGrid w:val="0"/>
        <w:spacing w:after="40" w:line="400" w:lineRule="exact"/>
        <w:ind w:firstLine="480" w:firstLineChars="200"/>
        <w:jc w:val="center"/>
        <w:textAlignment w:val="auto"/>
        <w:rPr>
          <w:rFonts w:hint="eastAsia" w:ascii="方正小标宋_GBK" w:hAnsi="方正小标宋_GBK" w:eastAsia="方正小标宋_GBK" w:cs="方正小标宋_GBK"/>
          <w:bCs/>
          <w:spacing w:val="-20"/>
          <w:kern w:val="0"/>
          <w:sz w:val="28"/>
          <w:szCs w:val="28"/>
        </w:rPr>
      </w:pPr>
      <w:r>
        <w:rPr>
          <w:rFonts w:hint="eastAsia" w:ascii="方正小标宋_GBK" w:hAnsi="方正小标宋_GBK" w:eastAsia="方正小标宋_GBK" w:cs="方正小标宋_GBK"/>
          <w:bCs/>
          <w:spacing w:val="-20"/>
          <w:kern w:val="0"/>
          <w:sz w:val="28"/>
          <w:szCs w:val="28"/>
        </w:rPr>
        <w:t>第三部分 建设工程造价咨询合同专用条件</w:t>
      </w:r>
    </w:p>
    <w:p w14:paraId="11B330B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
    <w:p w14:paraId="1EF6EFDE">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第二条　本合同适用的法律、法规及工程造价计价办法和规定：国家现行法律法规及合同约定。</w:t>
      </w:r>
    </w:p>
    <w:p w14:paraId="2AC310E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第四条  建设工程造价咨询业务范围和内容：</w:t>
      </w:r>
    </w:p>
    <w:p w14:paraId="46BF91F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（一）建设工程造价业务咨询范围：【</w:t>
      </w:r>
      <w:permStart w:id="27" w:edGrp="everyone"/>
      <w:r>
        <w:rPr>
          <w:rFonts w:hint="eastAsia" w:ascii="宋体" w:hAnsi="宋体" w:eastAsia="宋体" w:cs="宋体"/>
          <w:bCs/>
          <w:spacing w:val="-20"/>
          <w:kern w:val="0"/>
          <w:sz w:val="28"/>
          <w:szCs w:val="28"/>
        </w:rPr>
        <w:t>结算审核（B类）</w:t>
      </w:r>
      <w:permEnd w:id="27"/>
      <w:r>
        <w:rPr>
          <w:rFonts w:hint="eastAsia" w:ascii="宋体" w:hAnsi="宋体" w:eastAsia="宋体" w:cs="宋体"/>
          <w:bCs/>
          <w:spacing w:val="-20"/>
          <w:kern w:val="0"/>
          <w:sz w:val="28"/>
          <w:szCs w:val="28"/>
        </w:rPr>
        <w:t>】。</w:t>
      </w:r>
    </w:p>
    <w:p w14:paraId="16E1ABAD">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 “建设工程造价咨询业务”是指以下服务类别的咨询业务：</w:t>
      </w:r>
    </w:p>
    <w:p w14:paraId="1C9A098C">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（A类）建设项目可行性研究投资估算的编制、审核及项目经济评价；</w:t>
      </w:r>
    </w:p>
    <w:p w14:paraId="7D3B036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（B类）建设工程概算、预算、结算、竣工结（决）算的编制、审核；</w:t>
      </w:r>
    </w:p>
    <w:p w14:paraId="7CFB509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（C类）建设工程招标标底、投标报价的编制、审核；</w:t>
      </w:r>
    </w:p>
    <w:p w14:paraId="00AA344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（D类）工程洽商、变更及合同争议的鉴定与索赔；</w:t>
      </w:r>
    </w:p>
    <w:p w14:paraId="1DE7471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（E类）编制工程造价计价依据及对工程造价进行监控和提供有关工程造价信息资料等。</w:t>
      </w:r>
    </w:p>
    <w:p w14:paraId="59215B0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（二）建设工程造价业务咨询内容:</w:t>
      </w:r>
    </w:p>
    <w:p w14:paraId="00BB5D3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w:t>
      </w:r>
      <w:permStart w:id="28" w:edGrp="everyone"/>
      <w:r>
        <w:rPr>
          <w:rFonts w:hint="eastAsia" w:ascii="宋体" w:hAnsi="宋体" w:eastAsia="宋体" w:cs="宋体"/>
          <w:bCs/>
          <w:spacing w:val="-20"/>
          <w:kern w:val="0"/>
          <w:sz w:val="28"/>
          <w:szCs w:val="28"/>
        </w:rPr>
        <w:t>审核工程资料是否按基本建设程序合法、完整；对照招标投标文件及国家相关法律法规审查施工合同是否有效；变更、签证手续是否完备、真实、有效；工程量计算是否准确；各项取费是否符合相关要求；单价确定是否合理合法；材料设备价格是否合理合法、施工合同纠纷问题是否有理有据等。根据工程具体情况，可采用不同的审核方法，具体有全面审核法、重点审核法、对比分析审核法等。</w:t>
      </w:r>
    </w:p>
    <w:p w14:paraId="029864FB">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 本次造价咨询核心工作为办理2026第一批87个工程项目分包单位的结算或清算。</w:t>
      </w:r>
    </w:p>
    <w:p w14:paraId="4354530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（1）以比选人和项目业主已审定的结算结果为依据，结合各家分包单位实际实施范围、竣工图等资料，按照分包合同约定的计价原则，逐一对各分包单位开展结算或清算审核，并出具正式结算或清算咨询报告。</w:t>
      </w:r>
    </w:p>
    <w:p w14:paraId="1C44C0A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（2）若项目存在包括不限于资料不齐等前提条件导致无法结算的（具体项目</w:t>
      </w:r>
      <w:r>
        <w:rPr>
          <w:rFonts w:hint="eastAsia" w:ascii="宋体" w:hAnsi="宋体" w:eastAsia="宋体" w:cs="宋体"/>
          <w:bCs/>
          <w:spacing w:val="-20"/>
          <w:kern w:val="0"/>
          <w:sz w:val="28"/>
          <w:szCs w:val="28"/>
          <w:lang w:val="en-US" w:eastAsia="zh-CN"/>
        </w:rPr>
        <w:t>以</w:t>
      </w:r>
      <w:r>
        <w:rPr>
          <w:rFonts w:hint="eastAsia" w:ascii="宋体" w:hAnsi="宋体" w:eastAsia="宋体" w:cs="宋体"/>
          <w:bCs/>
          <w:spacing w:val="-20"/>
          <w:kern w:val="0"/>
          <w:sz w:val="28"/>
          <w:szCs w:val="28"/>
        </w:rPr>
        <w:t>比选人确认</w:t>
      </w:r>
      <w:r>
        <w:rPr>
          <w:rFonts w:hint="eastAsia" w:ascii="宋体" w:hAnsi="宋体" w:eastAsia="宋体" w:cs="宋体"/>
          <w:bCs/>
          <w:spacing w:val="-20"/>
          <w:kern w:val="0"/>
          <w:sz w:val="28"/>
          <w:szCs w:val="28"/>
          <w:lang w:val="en-US" w:eastAsia="zh-CN"/>
        </w:rPr>
        <w:t>为准</w:t>
      </w:r>
      <w:r>
        <w:rPr>
          <w:rFonts w:hint="eastAsia" w:ascii="宋体" w:hAnsi="宋体" w:eastAsia="宋体" w:cs="宋体"/>
          <w:bCs/>
          <w:spacing w:val="-20"/>
          <w:kern w:val="0"/>
          <w:sz w:val="28"/>
          <w:szCs w:val="28"/>
        </w:rPr>
        <w:t>），应对项目情况进行</w:t>
      </w:r>
      <w:r>
        <w:rPr>
          <w:rFonts w:hint="eastAsia" w:ascii="宋体" w:hAnsi="宋体" w:eastAsia="宋体" w:cs="宋体"/>
          <w:bCs/>
          <w:spacing w:val="-20"/>
          <w:kern w:val="0"/>
          <w:sz w:val="28"/>
          <w:szCs w:val="28"/>
          <w:lang w:val="en-US" w:eastAsia="zh-CN"/>
        </w:rPr>
        <w:t>梳理</w:t>
      </w:r>
      <w:r>
        <w:rPr>
          <w:rFonts w:hint="eastAsia" w:ascii="宋体" w:hAnsi="宋体" w:eastAsia="宋体" w:cs="宋体"/>
          <w:bCs/>
          <w:spacing w:val="-20"/>
          <w:kern w:val="0"/>
          <w:sz w:val="28"/>
          <w:szCs w:val="28"/>
        </w:rPr>
        <w:t>分析，找出问题堵点及原因，提出详细处理建议</w:t>
      </w:r>
      <w:r>
        <w:rPr>
          <w:rFonts w:hint="eastAsia" w:ascii="宋体" w:hAnsi="宋体" w:eastAsia="宋体" w:cs="宋体"/>
          <w:bCs/>
          <w:spacing w:val="-20"/>
          <w:kern w:val="0"/>
          <w:sz w:val="28"/>
          <w:szCs w:val="28"/>
          <w:lang w:val="en-US" w:eastAsia="zh-CN"/>
        </w:rPr>
        <w:t>与解决方案</w:t>
      </w:r>
      <w:r>
        <w:rPr>
          <w:rFonts w:hint="eastAsia" w:ascii="宋体" w:hAnsi="宋体" w:eastAsia="宋体" w:cs="宋体"/>
          <w:bCs/>
          <w:spacing w:val="-20"/>
          <w:kern w:val="0"/>
          <w:sz w:val="28"/>
          <w:szCs w:val="28"/>
        </w:rPr>
        <w:t>，</w:t>
      </w:r>
      <w:r>
        <w:rPr>
          <w:rFonts w:hint="eastAsia" w:ascii="宋体" w:hAnsi="宋体" w:eastAsia="宋体" w:cs="宋体"/>
          <w:bCs/>
          <w:spacing w:val="-20"/>
          <w:kern w:val="0"/>
          <w:sz w:val="28"/>
          <w:szCs w:val="28"/>
          <w:lang w:val="en-US" w:eastAsia="zh-CN"/>
        </w:rPr>
        <w:t>并</w:t>
      </w:r>
      <w:r>
        <w:rPr>
          <w:rFonts w:hint="eastAsia" w:ascii="宋体" w:hAnsi="宋体" w:eastAsia="宋体" w:cs="宋体"/>
          <w:bCs/>
          <w:spacing w:val="-20"/>
          <w:kern w:val="0"/>
          <w:sz w:val="28"/>
          <w:szCs w:val="28"/>
        </w:rPr>
        <w:t>出具正式项目咨询建议报告。</w:t>
      </w:r>
      <w:permEnd w:id="28"/>
      <w:r>
        <w:rPr>
          <w:rFonts w:hint="eastAsia" w:ascii="宋体" w:hAnsi="宋体" w:eastAsia="宋体" w:cs="宋体"/>
          <w:bCs/>
          <w:spacing w:val="-20"/>
          <w:kern w:val="0"/>
          <w:sz w:val="28"/>
          <w:szCs w:val="28"/>
        </w:rPr>
        <w:t>】</w:t>
      </w:r>
    </w:p>
    <w:p w14:paraId="299B817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第十三条  咨询人未能按约定出具审核报告的，咨询人应承担逾期违约金【</w:t>
      </w:r>
      <w:permStart w:id="29" w:edGrp="everyone"/>
      <w:r>
        <w:rPr>
          <w:rFonts w:hint="eastAsia" w:ascii="宋体" w:hAnsi="宋体" w:eastAsia="宋体" w:cs="宋体"/>
          <w:bCs/>
          <w:spacing w:val="-20"/>
          <w:kern w:val="0"/>
          <w:sz w:val="28"/>
          <w:szCs w:val="28"/>
        </w:rPr>
        <w:t>2000元/天</w:t>
      </w:r>
      <w:permEnd w:id="29"/>
      <w:r>
        <w:rPr>
          <w:rFonts w:hint="eastAsia" w:ascii="宋体" w:hAnsi="宋体" w:eastAsia="宋体" w:cs="宋体"/>
          <w:bCs/>
          <w:spacing w:val="-20"/>
          <w:kern w:val="0"/>
          <w:sz w:val="28"/>
          <w:szCs w:val="28"/>
        </w:rPr>
        <w:t>】；逾期超过【</w:t>
      </w:r>
      <w:permStart w:id="30" w:edGrp="everyone"/>
      <w:r>
        <w:rPr>
          <w:rFonts w:hint="eastAsia" w:ascii="宋体" w:hAnsi="宋体" w:eastAsia="宋体" w:cs="宋体"/>
          <w:bCs/>
          <w:spacing w:val="-20"/>
          <w:kern w:val="0"/>
          <w:sz w:val="28"/>
          <w:szCs w:val="28"/>
        </w:rPr>
        <w:t>20</w:t>
      </w:r>
      <w:permEnd w:id="30"/>
      <w:r>
        <w:rPr>
          <w:rFonts w:hint="eastAsia" w:ascii="宋体" w:hAnsi="宋体" w:eastAsia="宋体" w:cs="宋体"/>
          <w:bCs/>
          <w:spacing w:val="-20"/>
          <w:kern w:val="0"/>
          <w:sz w:val="28"/>
          <w:szCs w:val="28"/>
        </w:rPr>
        <w:t>】天的，委托人有权单方面解除本合同；咨询人承担由此造成委托人的经济损失</w:t>
      </w:r>
      <w:r>
        <w:rPr>
          <w:rFonts w:hint="eastAsia" w:ascii="宋体" w:hAnsi="宋体" w:eastAsia="宋体" w:cs="宋体"/>
          <w:bCs/>
          <w:spacing w:val="-20"/>
          <w:kern w:val="0"/>
          <w:sz w:val="28"/>
          <w:szCs w:val="28"/>
          <w:lang w:eastAsia="zh-CN"/>
        </w:rPr>
        <w:t>（</w:t>
      </w:r>
      <w:r>
        <w:rPr>
          <w:rFonts w:hint="eastAsia" w:ascii="宋体" w:hAnsi="宋体" w:eastAsia="宋体" w:cs="宋体"/>
          <w:sz w:val="28"/>
          <w:szCs w:val="28"/>
          <w:lang w:val="en-US" w:eastAsia="zh-CN"/>
        </w:rPr>
        <w:t>包括但不限于诉讼费、律师费、鉴定费、保全费等全部费用</w:t>
      </w:r>
      <w:r>
        <w:rPr>
          <w:rFonts w:hint="eastAsia" w:ascii="宋体" w:hAnsi="宋体" w:eastAsia="宋体" w:cs="宋体"/>
          <w:bCs/>
          <w:spacing w:val="-20"/>
          <w:kern w:val="0"/>
          <w:sz w:val="28"/>
          <w:szCs w:val="28"/>
          <w:lang w:eastAsia="zh-CN"/>
        </w:rPr>
        <w:t>）</w:t>
      </w:r>
      <w:r>
        <w:rPr>
          <w:rFonts w:hint="eastAsia" w:ascii="宋体" w:hAnsi="宋体" w:eastAsia="宋体" w:cs="宋体"/>
          <w:bCs/>
          <w:spacing w:val="-20"/>
          <w:kern w:val="0"/>
          <w:sz w:val="28"/>
          <w:szCs w:val="28"/>
        </w:rPr>
        <w:t>。</w:t>
      </w:r>
    </w:p>
    <w:p w14:paraId="643E347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第十四条  咨询人在其责任期内审核偏差过大，同意承担违约金；咨询人除负责采取补救措施外，并根据损失程度向委托人支付赔偿金。</w:t>
      </w:r>
    </w:p>
    <w:p w14:paraId="2404974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（一）委托人提供的审核资料在相同的情况下，咨询人出具的审核报告结果与国家审计机关或委托人复审比较出现偏差，</w:t>
      </w:r>
      <w:r>
        <w:rPr>
          <w:rFonts w:hint="eastAsia" w:ascii="宋体" w:hAnsi="宋体" w:eastAsia="宋体" w:cs="宋体"/>
          <w:bCs/>
          <w:spacing w:val="-20"/>
          <w:kern w:val="0"/>
          <w:sz w:val="28"/>
          <w:szCs w:val="28"/>
          <w:lang w:val="en-US" w:eastAsia="zh-CN"/>
        </w:rPr>
        <w:t>以单个项目为基数，</w:t>
      </w:r>
      <w:r>
        <w:rPr>
          <w:rFonts w:hint="eastAsia" w:ascii="宋体" w:hAnsi="宋体" w:eastAsia="宋体" w:cs="宋体"/>
          <w:bCs/>
          <w:spacing w:val="-20"/>
          <w:kern w:val="0"/>
          <w:sz w:val="28"/>
          <w:szCs w:val="28"/>
        </w:rPr>
        <w:t>按以下条款承担违约金：</w:t>
      </w:r>
    </w:p>
    <w:p w14:paraId="0D9E6B8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1.国家审计机关或委托人复审的审减率在【</w:t>
      </w:r>
      <w:permStart w:id="31" w:edGrp="everyone"/>
      <w:r>
        <w:rPr>
          <w:rFonts w:hint="eastAsia" w:ascii="宋体" w:hAnsi="宋体" w:eastAsia="宋体" w:cs="宋体"/>
          <w:bCs/>
          <w:spacing w:val="-20"/>
          <w:kern w:val="0"/>
          <w:sz w:val="28"/>
          <w:szCs w:val="28"/>
        </w:rPr>
        <w:t>3%（含3%）</w:t>
      </w:r>
      <w:permEnd w:id="31"/>
      <w:r>
        <w:rPr>
          <w:rFonts w:hint="eastAsia" w:ascii="宋体" w:hAnsi="宋体" w:eastAsia="宋体" w:cs="宋体"/>
          <w:bCs/>
          <w:spacing w:val="-20"/>
          <w:kern w:val="0"/>
          <w:sz w:val="28"/>
          <w:szCs w:val="28"/>
        </w:rPr>
        <w:t>】范围以内的，属于合理误差范围，对咨询费（包括基本费和审减效益费）的收取不产生影响；</w:t>
      </w:r>
    </w:p>
    <w:p w14:paraId="31115BD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2.国家审计机关或委托人复审的审减率在【</w:t>
      </w:r>
      <w:permStart w:id="32" w:edGrp="everyone"/>
      <w:r>
        <w:rPr>
          <w:rFonts w:hint="eastAsia" w:ascii="宋体" w:hAnsi="宋体" w:eastAsia="宋体" w:cs="宋体"/>
          <w:bCs/>
          <w:spacing w:val="-20"/>
          <w:kern w:val="0"/>
          <w:sz w:val="28"/>
          <w:szCs w:val="28"/>
        </w:rPr>
        <w:t>3%至5%（含5%）</w:t>
      </w:r>
      <w:permEnd w:id="32"/>
      <w:r>
        <w:rPr>
          <w:rFonts w:hint="eastAsia" w:ascii="宋体" w:hAnsi="宋体" w:eastAsia="宋体" w:cs="宋体"/>
          <w:bCs/>
          <w:spacing w:val="-20"/>
          <w:kern w:val="0"/>
          <w:sz w:val="28"/>
          <w:szCs w:val="28"/>
        </w:rPr>
        <w:t>】范围内的，委托人有权扣除咨询人【</w:t>
      </w:r>
      <w:permStart w:id="33" w:edGrp="everyone"/>
      <w:r>
        <w:rPr>
          <w:rFonts w:hint="eastAsia" w:ascii="宋体" w:hAnsi="宋体" w:eastAsia="宋体" w:cs="宋体"/>
          <w:bCs/>
          <w:spacing w:val="-20"/>
          <w:kern w:val="0"/>
          <w:sz w:val="28"/>
          <w:szCs w:val="28"/>
        </w:rPr>
        <w:t>50%的咨询费</w:t>
      </w:r>
      <w:permEnd w:id="33"/>
      <w:r>
        <w:rPr>
          <w:rFonts w:hint="eastAsia" w:ascii="宋体" w:hAnsi="宋体" w:eastAsia="宋体" w:cs="宋体"/>
          <w:bCs/>
          <w:spacing w:val="-20"/>
          <w:kern w:val="0"/>
          <w:sz w:val="28"/>
          <w:szCs w:val="28"/>
        </w:rPr>
        <w:t>】；</w:t>
      </w:r>
    </w:p>
    <w:p w14:paraId="6E55A24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3.国家审计机关或委托人复审的审减率超过【</w:t>
      </w:r>
      <w:permStart w:id="34" w:edGrp="everyone"/>
      <w:r>
        <w:rPr>
          <w:rFonts w:hint="eastAsia" w:ascii="宋体" w:hAnsi="宋体" w:eastAsia="宋体" w:cs="宋体"/>
          <w:bCs/>
          <w:spacing w:val="-20"/>
          <w:kern w:val="0"/>
          <w:sz w:val="28"/>
          <w:szCs w:val="28"/>
        </w:rPr>
        <w:t>5%</w:t>
      </w:r>
      <w:permEnd w:id="34"/>
      <w:r>
        <w:rPr>
          <w:rFonts w:hint="eastAsia" w:ascii="宋体" w:hAnsi="宋体" w:eastAsia="宋体" w:cs="宋体"/>
          <w:bCs/>
          <w:spacing w:val="-20"/>
          <w:kern w:val="0"/>
          <w:sz w:val="28"/>
          <w:szCs w:val="28"/>
        </w:rPr>
        <w:t>】的，委托人有权扣除咨询人【</w:t>
      </w:r>
      <w:permStart w:id="35" w:edGrp="everyone"/>
      <w:r>
        <w:rPr>
          <w:rFonts w:hint="eastAsia" w:ascii="宋体" w:hAnsi="宋体" w:eastAsia="宋体" w:cs="宋体"/>
          <w:bCs/>
          <w:spacing w:val="-20"/>
          <w:kern w:val="0"/>
          <w:sz w:val="28"/>
          <w:szCs w:val="28"/>
        </w:rPr>
        <w:t>全部的咨询费</w:t>
      </w:r>
      <w:permEnd w:id="35"/>
      <w:r>
        <w:rPr>
          <w:rFonts w:hint="eastAsia" w:ascii="宋体" w:hAnsi="宋体" w:eastAsia="宋体" w:cs="宋体"/>
          <w:bCs/>
          <w:spacing w:val="-20"/>
          <w:kern w:val="0"/>
          <w:sz w:val="28"/>
          <w:szCs w:val="28"/>
        </w:rPr>
        <w:t>】。</w:t>
      </w:r>
    </w:p>
    <w:p w14:paraId="34926FDE">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（二）咨询人在履行合同过程中，违反国家法律、法规损害国家和委托人利益，服务方赔偿给委托方因此造成的损失。</w:t>
      </w:r>
    </w:p>
    <w:p w14:paraId="5DC1A5F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w:t>
      </w:r>
      <w:permStart w:id="36" w:edGrp="everyone"/>
      <w:r>
        <w:rPr>
          <w:rFonts w:hint="eastAsia" w:ascii="宋体" w:hAnsi="宋体" w:eastAsia="宋体" w:cs="宋体"/>
          <w:bCs/>
          <w:spacing w:val="-20"/>
          <w:kern w:val="0"/>
          <w:sz w:val="28"/>
          <w:szCs w:val="28"/>
        </w:rPr>
        <w:t>赔偿金=实际损失×100%（扣除税金，累计赔偿总额以咨询酬金总额为限）</w:t>
      </w:r>
      <w:permEnd w:id="36"/>
      <w:r>
        <w:rPr>
          <w:rFonts w:hint="eastAsia" w:ascii="宋体" w:hAnsi="宋体" w:eastAsia="宋体" w:cs="宋体"/>
          <w:bCs/>
          <w:spacing w:val="-20"/>
          <w:kern w:val="0"/>
          <w:sz w:val="28"/>
          <w:szCs w:val="28"/>
        </w:rPr>
        <w:t>】。</w:t>
      </w:r>
    </w:p>
    <w:p w14:paraId="0565457C">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（三）除委托人同意外，咨询人不得单独约见相关第三方、接受第三方报送资料、宴请、财物等。一经查实，委托人有权不履行合同、收回已支付酬金，有权追究咨询人和第三方责任，并加倍赔偿委托人损失。</w:t>
      </w:r>
    </w:p>
    <w:p w14:paraId="54BD6648">
      <w:pPr>
        <w:pStyle w:val="4"/>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第十六条   咨询人向委托人提出赔偿要求不能成立时，则应补偿由于该赔偿或其他要求所导致委托人的各种费用的支出。</w:t>
      </w:r>
      <w:r>
        <w:rPr>
          <w:rFonts w:hint="eastAsia" w:ascii="宋体" w:hAnsi="宋体" w:eastAsia="宋体" w:cs="宋体"/>
          <w:bCs/>
          <w:spacing w:val="-20"/>
          <w:kern w:val="0"/>
          <w:sz w:val="28"/>
          <w:szCs w:val="28"/>
          <w:lang w:val="en-US" w:eastAsia="zh-CN"/>
        </w:rPr>
        <w:t>各种费用包括</w:t>
      </w:r>
      <w:r>
        <w:rPr>
          <w:rFonts w:hint="eastAsia" w:ascii="宋体" w:hAnsi="宋体" w:eastAsia="宋体" w:cs="宋体"/>
          <w:bCs/>
          <w:spacing w:val="-20"/>
          <w:kern w:val="0"/>
          <w:sz w:val="28"/>
          <w:szCs w:val="28"/>
        </w:rPr>
        <w:t>可能产生的费用支出款项，如律师费、鉴定费、公证费、差旅费等</w:t>
      </w:r>
      <w:r>
        <w:rPr>
          <w:rFonts w:hint="eastAsia" w:ascii="宋体" w:hAnsi="宋体" w:eastAsia="宋体" w:cs="宋体"/>
          <w:bCs/>
          <w:spacing w:val="-20"/>
          <w:kern w:val="0"/>
          <w:sz w:val="28"/>
          <w:szCs w:val="28"/>
          <w:lang w:eastAsia="zh-CN"/>
        </w:rPr>
        <w:t>。</w:t>
      </w:r>
    </w:p>
    <w:p w14:paraId="67C53E89">
      <w:pPr>
        <w:pStyle w:val="4"/>
        <w:keepNext w:val="0"/>
        <w:keepLines w:val="0"/>
        <w:pageBreakBefore w:val="0"/>
        <w:kinsoku/>
        <w:wordWrap/>
        <w:overflowPunct/>
        <w:topLinePunct w:val="0"/>
        <w:autoSpaceDE/>
        <w:autoSpaceDN/>
        <w:bidi w:val="0"/>
        <w:spacing w:line="400" w:lineRule="exact"/>
        <w:ind w:firstLine="480" w:firstLineChars="200"/>
        <w:textAlignment w:val="auto"/>
        <w:rPr>
          <w:rFonts w:hint="default" w:ascii="宋体" w:hAnsi="宋体" w:eastAsia="宋体" w:cs="宋体"/>
          <w:bCs/>
          <w:spacing w:val="-20"/>
          <w:kern w:val="0"/>
          <w:sz w:val="28"/>
          <w:szCs w:val="28"/>
          <w:lang w:val="en-US" w:eastAsia="zh-CN"/>
        </w:rPr>
      </w:pPr>
      <w:r>
        <w:rPr>
          <w:rFonts w:hint="eastAsia" w:ascii="宋体" w:hAnsi="宋体" w:eastAsia="宋体" w:cs="宋体"/>
          <w:bCs/>
          <w:spacing w:val="-20"/>
          <w:kern w:val="0"/>
          <w:sz w:val="28"/>
          <w:szCs w:val="28"/>
        </w:rPr>
        <w:t>第二十条   由于委托人或第三人的原因使咨询人工作受到阻碍或延误以致增加了工作量或持续时间，则咨询人应当将此情况与可能产生的影响及时书面通知委托人。</w:t>
      </w:r>
      <w:r>
        <w:rPr>
          <w:rFonts w:hint="eastAsia" w:ascii="宋体" w:hAnsi="宋体" w:eastAsia="宋体" w:cs="宋体"/>
          <w:bCs/>
          <w:spacing w:val="-20"/>
          <w:kern w:val="0"/>
          <w:sz w:val="28"/>
          <w:szCs w:val="28"/>
          <w:lang w:val="en-US" w:eastAsia="zh-CN"/>
        </w:rPr>
        <w:t>由第三人原因导致的延误委托人同意</w:t>
      </w:r>
      <w:r>
        <w:rPr>
          <w:rFonts w:hint="eastAsia" w:ascii="宋体" w:hAnsi="宋体" w:eastAsia="宋体" w:cs="宋体"/>
          <w:bCs/>
          <w:spacing w:val="-20"/>
          <w:kern w:val="0"/>
          <w:sz w:val="28"/>
          <w:szCs w:val="28"/>
        </w:rPr>
        <w:t>咨询工作的时间相应延长，</w:t>
      </w:r>
      <w:r>
        <w:rPr>
          <w:rFonts w:hint="eastAsia" w:ascii="宋体" w:hAnsi="宋体" w:eastAsia="宋体" w:cs="宋体"/>
          <w:bCs/>
          <w:spacing w:val="-20"/>
          <w:kern w:val="0"/>
          <w:sz w:val="28"/>
          <w:szCs w:val="28"/>
          <w:lang w:val="en-US" w:eastAsia="zh-CN"/>
        </w:rPr>
        <w:t>但委托人不承担额外的服务费用及相应发生的损失。</w:t>
      </w:r>
    </w:p>
    <w:p w14:paraId="69A2B144">
      <w:pPr>
        <w:pStyle w:val="4"/>
        <w:keepNext w:val="0"/>
        <w:keepLines w:val="0"/>
        <w:pageBreakBefore w:val="0"/>
        <w:kinsoku/>
        <w:wordWrap/>
        <w:overflowPunct/>
        <w:topLinePunct w:val="0"/>
        <w:autoSpaceDE/>
        <w:autoSpaceDN/>
        <w:bidi w:val="0"/>
        <w:spacing w:line="400" w:lineRule="exact"/>
        <w:ind w:firstLine="480" w:firstLineChars="200"/>
        <w:textAlignment w:val="auto"/>
      </w:pPr>
      <w:r>
        <w:rPr>
          <w:rFonts w:hint="eastAsia" w:ascii="宋体" w:hAnsi="宋体" w:eastAsia="宋体" w:cs="宋体"/>
          <w:bCs/>
          <w:spacing w:val="-20"/>
          <w:kern w:val="0"/>
          <w:sz w:val="28"/>
          <w:szCs w:val="28"/>
          <w:lang w:val="en-US" w:eastAsia="zh-CN"/>
        </w:rPr>
        <w:t>若合同范围外</w:t>
      </w:r>
      <w:r>
        <w:rPr>
          <w:rFonts w:hint="eastAsia" w:ascii="宋体" w:hAnsi="宋体" w:eastAsia="宋体" w:cs="宋体"/>
          <w:bCs/>
          <w:spacing w:val="-20"/>
          <w:kern w:val="0"/>
          <w:sz w:val="28"/>
          <w:szCs w:val="28"/>
        </w:rPr>
        <w:t>增加的</w:t>
      </w:r>
      <w:r>
        <w:rPr>
          <w:rFonts w:hint="eastAsia" w:ascii="宋体" w:hAnsi="宋体" w:eastAsia="宋体" w:cs="宋体"/>
          <w:bCs/>
          <w:spacing w:val="-20"/>
          <w:kern w:val="0"/>
          <w:sz w:val="28"/>
          <w:szCs w:val="28"/>
          <w:lang w:val="en-US" w:eastAsia="zh-CN"/>
        </w:rPr>
        <w:t>工作量</w:t>
      </w:r>
      <w:r>
        <w:rPr>
          <w:rFonts w:hint="eastAsia" w:ascii="宋体" w:hAnsi="宋体" w:eastAsia="宋体" w:cs="宋体"/>
          <w:bCs/>
          <w:spacing w:val="-20"/>
          <w:kern w:val="0"/>
          <w:sz w:val="28"/>
          <w:szCs w:val="28"/>
        </w:rPr>
        <w:t>，应当得到</w:t>
      </w:r>
      <w:r>
        <w:rPr>
          <w:rFonts w:hint="eastAsia" w:ascii="宋体" w:hAnsi="宋体" w:eastAsia="宋体" w:cs="宋体"/>
          <w:bCs/>
          <w:spacing w:val="-20"/>
          <w:kern w:val="0"/>
          <w:sz w:val="28"/>
          <w:szCs w:val="28"/>
          <w:lang w:val="en-US" w:eastAsia="zh-CN"/>
        </w:rPr>
        <w:t>委托方</w:t>
      </w:r>
      <w:r>
        <w:rPr>
          <w:rFonts w:hint="eastAsia" w:ascii="宋体" w:hAnsi="宋体" w:eastAsia="宋体" w:cs="宋体"/>
          <w:bCs/>
          <w:spacing w:val="-20"/>
          <w:kern w:val="0"/>
          <w:sz w:val="28"/>
          <w:szCs w:val="28"/>
        </w:rPr>
        <w:t>的书面认可</w:t>
      </w:r>
      <w:r>
        <w:rPr>
          <w:rFonts w:hint="eastAsia" w:ascii="宋体" w:hAnsi="宋体" w:eastAsia="宋体" w:cs="宋体"/>
          <w:bCs/>
          <w:spacing w:val="-20"/>
          <w:kern w:val="0"/>
          <w:sz w:val="28"/>
          <w:szCs w:val="28"/>
          <w:lang w:eastAsia="zh-CN"/>
        </w:rPr>
        <w:t>，</w:t>
      </w:r>
      <w:r>
        <w:rPr>
          <w:rFonts w:hint="eastAsia" w:ascii="宋体" w:hAnsi="宋体" w:eastAsia="宋体" w:cs="宋体"/>
          <w:bCs/>
          <w:spacing w:val="-20"/>
          <w:kern w:val="0"/>
          <w:sz w:val="28"/>
          <w:szCs w:val="28"/>
        </w:rPr>
        <w:t>方可</w:t>
      </w:r>
      <w:r>
        <w:rPr>
          <w:rFonts w:hint="eastAsia" w:ascii="宋体" w:hAnsi="宋体" w:eastAsia="宋体" w:cs="宋体"/>
          <w:bCs/>
          <w:spacing w:val="-20"/>
          <w:kern w:val="0"/>
          <w:sz w:val="28"/>
          <w:szCs w:val="28"/>
          <w:lang w:val="en-US" w:eastAsia="zh-CN"/>
        </w:rPr>
        <w:t>额外计取额外酬金</w:t>
      </w:r>
      <w:r>
        <w:rPr>
          <w:rFonts w:hint="eastAsia" w:ascii="宋体" w:hAnsi="宋体" w:eastAsia="宋体" w:cs="宋体"/>
          <w:bCs/>
          <w:spacing w:val="-20"/>
          <w:kern w:val="0"/>
          <w:sz w:val="28"/>
          <w:szCs w:val="28"/>
        </w:rPr>
        <w:t>。</w:t>
      </w:r>
    </w:p>
    <w:p w14:paraId="40F3BC3F">
      <w:pPr>
        <w:pStyle w:val="4"/>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第二十一条   当事人一方要求变更或解除合同时，则应当在14日前书面通知对方；收到通知后，双方进行协商处理。</w:t>
      </w:r>
      <w:r>
        <w:rPr>
          <w:rFonts w:hint="eastAsia" w:ascii="宋体" w:hAnsi="宋体" w:eastAsia="宋体" w:cs="宋体"/>
          <w:bCs/>
          <w:spacing w:val="-20"/>
          <w:kern w:val="0"/>
          <w:sz w:val="28"/>
          <w:szCs w:val="28"/>
          <w:lang w:val="en-US" w:eastAsia="zh-CN"/>
        </w:rPr>
        <w:t>若</w:t>
      </w:r>
      <w:r>
        <w:rPr>
          <w:rFonts w:hint="eastAsia" w:ascii="宋体" w:hAnsi="宋体" w:eastAsia="宋体" w:cs="宋体"/>
          <w:bCs/>
          <w:spacing w:val="-20"/>
          <w:kern w:val="0"/>
          <w:sz w:val="28"/>
          <w:szCs w:val="28"/>
        </w:rPr>
        <w:t>因变更或解除合同使一方遭受损失的，应由责任方负责赔偿。</w:t>
      </w:r>
    </w:p>
    <w:p w14:paraId="730D202C">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第二十二条   咨询人由于非自身原因暂停或终止执行建设工程造价咨询业务，由此而增加的恢复执行建设工程造价咨询业务的工作，</w:t>
      </w:r>
      <w:r>
        <w:rPr>
          <w:rFonts w:hint="eastAsia" w:ascii="宋体" w:hAnsi="宋体" w:eastAsia="宋体" w:cs="宋体"/>
          <w:bCs/>
          <w:spacing w:val="-20"/>
          <w:kern w:val="0"/>
          <w:sz w:val="28"/>
          <w:szCs w:val="28"/>
          <w:lang w:val="en-US" w:eastAsia="zh-CN"/>
        </w:rPr>
        <w:t>不</w:t>
      </w:r>
      <w:r>
        <w:rPr>
          <w:rFonts w:hint="eastAsia" w:ascii="宋体" w:hAnsi="宋体" w:eastAsia="宋体" w:cs="宋体"/>
          <w:bCs/>
          <w:spacing w:val="-20"/>
          <w:kern w:val="0"/>
          <w:sz w:val="28"/>
          <w:szCs w:val="28"/>
        </w:rPr>
        <w:t>视为额外服务</w:t>
      </w:r>
      <w:r>
        <w:rPr>
          <w:rFonts w:hint="eastAsia" w:ascii="宋体" w:hAnsi="宋体" w:eastAsia="宋体" w:cs="宋体"/>
          <w:bCs/>
          <w:spacing w:val="-20"/>
          <w:kern w:val="0"/>
          <w:sz w:val="28"/>
          <w:szCs w:val="28"/>
          <w:lang w:eastAsia="zh-CN"/>
        </w:rPr>
        <w:t>，</w:t>
      </w:r>
      <w:r>
        <w:rPr>
          <w:rFonts w:hint="eastAsia" w:ascii="宋体" w:hAnsi="宋体" w:eastAsia="宋体" w:cs="宋体"/>
          <w:bCs/>
          <w:spacing w:val="-20"/>
          <w:kern w:val="0"/>
          <w:sz w:val="28"/>
          <w:szCs w:val="28"/>
          <w:lang w:val="en-US" w:eastAsia="zh-CN"/>
        </w:rPr>
        <w:t>不收取</w:t>
      </w:r>
      <w:r>
        <w:rPr>
          <w:rFonts w:hint="eastAsia" w:ascii="宋体" w:hAnsi="宋体" w:eastAsia="宋体" w:cs="宋体"/>
          <w:bCs/>
          <w:spacing w:val="-20"/>
          <w:kern w:val="0"/>
          <w:sz w:val="28"/>
          <w:szCs w:val="28"/>
        </w:rPr>
        <w:t>额外的时间和酬金。</w:t>
      </w:r>
    </w:p>
    <w:p w14:paraId="43770E71">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 xml:space="preserve">第二十四条  委托人同意按以下的计算方法、支付时间与金额，支付咨询人的服务酬金： </w:t>
      </w:r>
    </w:p>
    <w:p w14:paraId="7CE1AD4A">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（一）咨询费的计算方法：</w:t>
      </w:r>
    </w:p>
    <w:p w14:paraId="408102D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（1）出具正式结算或清算咨询报告的：以中选人实际完成结算/清算审核的项目个数及对应项目结算金额为计算基数（暂定项目明细详见附件</w:t>
      </w:r>
      <w:r>
        <w:rPr>
          <w:rFonts w:hint="eastAsia" w:ascii="宋体" w:hAnsi="宋体" w:eastAsia="宋体" w:cs="宋体"/>
          <w:bCs/>
          <w:spacing w:val="-20"/>
          <w:kern w:val="0"/>
          <w:sz w:val="28"/>
          <w:szCs w:val="28"/>
          <w:lang w:val="en-US" w:eastAsia="zh-CN"/>
        </w:rPr>
        <w:t>2</w:t>
      </w:r>
      <w:r>
        <w:rPr>
          <w:rFonts w:hint="eastAsia" w:ascii="宋体" w:hAnsi="宋体" w:eastAsia="宋体" w:cs="宋体"/>
          <w:bCs/>
          <w:spacing w:val="-20"/>
          <w:kern w:val="0"/>
          <w:sz w:val="28"/>
          <w:szCs w:val="28"/>
        </w:rPr>
        <w:t>《暂定项目明细表》），按《两江新区政府投资项目工程建设其他费用计费指南》标准费率（计费依据按照渝价〔2013〕428 号文）（见第二章附件</w:t>
      </w:r>
      <w:r>
        <w:rPr>
          <w:rFonts w:hint="eastAsia" w:ascii="宋体" w:hAnsi="宋体" w:eastAsia="宋体" w:cs="宋体"/>
          <w:bCs/>
          <w:spacing w:val="-20"/>
          <w:kern w:val="0"/>
          <w:sz w:val="28"/>
          <w:szCs w:val="28"/>
          <w:lang w:val="en-US" w:eastAsia="zh-CN"/>
        </w:rPr>
        <w:t>1</w:t>
      </w:r>
      <w:r>
        <w:rPr>
          <w:rFonts w:hint="eastAsia" w:ascii="宋体" w:hAnsi="宋体" w:eastAsia="宋体" w:cs="宋体"/>
          <w:bCs/>
          <w:spacing w:val="-20"/>
          <w:kern w:val="0"/>
          <w:sz w:val="28"/>
          <w:szCs w:val="28"/>
        </w:rPr>
        <w:t>）</w:t>
      </w:r>
      <w:r>
        <w:rPr>
          <w:rFonts w:hint="eastAsia" w:ascii="宋体" w:hAnsi="宋体" w:eastAsia="宋体" w:cs="宋体"/>
          <w:bCs/>
          <w:spacing w:val="-20"/>
          <w:kern w:val="0"/>
          <w:sz w:val="28"/>
          <w:szCs w:val="28"/>
          <w:lang w:val="en-US" w:eastAsia="zh-CN"/>
        </w:rPr>
        <w:t>计算基本费</w:t>
      </w:r>
      <w:r>
        <w:rPr>
          <w:rFonts w:hint="eastAsia" w:ascii="宋体" w:hAnsi="宋体" w:eastAsia="宋体" w:cs="宋体"/>
          <w:bCs/>
          <w:spacing w:val="-20"/>
          <w:kern w:val="0"/>
          <w:sz w:val="28"/>
          <w:szCs w:val="28"/>
        </w:rPr>
        <w:t>，</w:t>
      </w:r>
      <w:r>
        <w:rPr>
          <w:rFonts w:hint="eastAsia" w:ascii="宋体" w:hAnsi="宋体" w:eastAsia="宋体" w:cs="宋体"/>
          <w:bCs/>
          <w:spacing w:val="-20"/>
          <w:kern w:val="0"/>
          <w:sz w:val="28"/>
          <w:szCs w:val="28"/>
          <w:lang w:val="en-US" w:eastAsia="zh-CN"/>
        </w:rPr>
        <w:t>乘以</w:t>
      </w:r>
      <w:r>
        <w:rPr>
          <w:rFonts w:hint="eastAsia" w:ascii="宋体" w:hAnsi="宋体" w:eastAsia="宋体" w:cs="宋体"/>
          <w:bCs/>
          <w:spacing w:val="-20"/>
          <w:kern w:val="0"/>
          <w:sz w:val="28"/>
          <w:szCs w:val="28"/>
        </w:rPr>
        <w:t>折扣系数</w:t>
      </w:r>
      <w:r>
        <w:rPr>
          <w:rFonts w:hint="eastAsia" w:ascii="宋体" w:hAnsi="宋体" w:eastAsia="宋体" w:cs="宋体"/>
          <w:bCs/>
          <w:spacing w:val="-20"/>
          <w:kern w:val="0"/>
          <w:sz w:val="28"/>
          <w:szCs w:val="28"/>
          <w:lang w:val="en-US" w:eastAsia="zh-CN"/>
        </w:rPr>
        <w:t>（ %）</w:t>
      </w:r>
      <w:r>
        <w:rPr>
          <w:rFonts w:hint="eastAsia" w:ascii="宋体" w:hAnsi="宋体" w:eastAsia="宋体" w:cs="宋体"/>
          <w:bCs/>
          <w:spacing w:val="-20"/>
          <w:kern w:val="0"/>
          <w:sz w:val="28"/>
          <w:szCs w:val="28"/>
          <w:lang w:eastAsia="zh-CN"/>
        </w:rPr>
        <w:t>，</w:t>
      </w:r>
      <w:r>
        <w:rPr>
          <w:rFonts w:hint="eastAsia" w:ascii="宋体" w:hAnsi="宋体" w:eastAsia="宋体" w:cs="宋体"/>
          <w:bCs/>
          <w:spacing w:val="-20"/>
          <w:kern w:val="0"/>
          <w:sz w:val="28"/>
          <w:szCs w:val="28"/>
        </w:rPr>
        <w:t>分项目据实计算。</w:t>
      </w:r>
    </w:p>
    <w:p w14:paraId="015BA4E9">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（2）出具项目咨询建议报告的：根据项目实际情况，以项目为单位针对性地出具正式项目咨询建议报告，</w:t>
      </w:r>
      <w:r>
        <w:rPr>
          <w:rFonts w:hint="eastAsia" w:ascii="宋体" w:hAnsi="宋体" w:eastAsia="宋体" w:cs="宋体"/>
          <w:bCs/>
          <w:spacing w:val="-20"/>
          <w:kern w:val="0"/>
          <w:sz w:val="28"/>
          <w:szCs w:val="28"/>
          <w:lang w:val="en-US" w:eastAsia="zh-CN"/>
        </w:rPr>
        <w:t>费用标准为</w:t>
      </w:r>
      <w:r>
        <w:rPr>
          <w:rFonts w:hint="eastAsia" w:ascii="宋体" w:hAnsi="宋体" w:eastAsia="宋体" w:cs="宋体"/>
          <w:bCs/>
          <w:spacing w:val="-20"/>
          <w:kern w:val="0"/>
          <w:sz w:val="28"/>
          <w:szCs w:val="28"/>
        </w:rPr>
        <w:t>1000元/个项目。</w:t>
      </w:r>
    </w:p>
    <w:p w14:paraId="4943356C">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（二）服务酬金的支付时间：</w:t>
      </w:r>
    </w:p>
    <w:p w14:paraId="2151D403">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咨询人提交正式报告，经委托人审核后，扣除违约金及赔偿金后一次性支付。</w:t>
      </w:r>
      <w:r>
        <w:rPr>
          <w:rFonts w:hint="eastAsia" w:ascii="宋体" w:hAnsi="宋体" w:eastAsia="宋体" w:cs="宋体"/>
          <w:bCs/>
          <w:spacing w:val="-20"/>
          <w:kern w:val="0"/>
          <w:sz w:val="28"/>
          <w:szCs w:val="28"/>
          <w:lang w:val="en-US" w:eastAsia="zh-CN"/>
        </w:rPr>
        <w:t>次</w:t>
      </w:r>
      <w:r>
        <w:rPr>
          <w:rFonts w:hint="eastAsia" w:ascii="宋体" w:hAnsi="宋体" w:eastAsia="宋体" w:cs="宋体"/>
          <w:bCs/>
          <w:color w:val="auto"/>
          <w:spacing w:val="-20"/>
          <w:kern w:val="0"/>
          <w:sz w:val="28"/>
          <w:szCs w:val="28"/>
          <w:highlight w:val="none"/>
          <w:lang w:val="en-US" w:eastAsia="zh-CN"/>
        </w:rPr>
        <w:t>月</w:t>
      </w:r>
      <w:r>
        <w:rPr>
          <w:rFonts w:hint="eastAsia" w:ascii="宋体" w:hAnsi="宋体" w:eastAsia="宋体" w:cs="宋体"/>
          <w:bCs/>
          <w:spacing w:val="-20"/>
          <w:kern w:val="0"/>
          <w:sz w:val="28"/>
          <w:szCs w:val="28"/>
          <w:lang w:val="en-US" w:eastAsia="zh-CN"/>
        </w:rPr>
        <w:t>**日前</w:t>
      </w:r>
      <w:r>
        <w:rPr>
          <w:rFonts w:hint="eastAsia" w:ascii="宋体" w:hAnsi="宋体" w:eastAsia="宋体" w:cs="宋体"/>
          <w:bCs/>
          <w:color w:val="auto"/>
          <w:spacing w:val="-20"/>
          <w:kern w:val="0"/>
          <w:sz w:val="28"/>
          <w:szCs w:val="28"/>
          <w:highlight w:val="none"/>
          <w:lang w:val="en-US" w:eastAsia="zh-CN"/>
        </w:rPr>
        <w:t>支付上月完成项目的咨询费用。</w:t>
      </w:r>
    </w:p>
    <w:p w14:paraId="5D1EC2F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（三）支付附加服务</w:t>
      </w:r>
      <w:permStart w:id="37" w:edGrp="everyone"/>
      <w:permEnd w:id="37"/>
      <w:r>
        <w:rPr>
          <w:rFonts w:hint="eastAsia" w:ascii="宋体" w:hAnsi="宋体" w:eastAsia="宋体" w:cs="宋体"/>
          <w:bCs/>
          <w:spacing w:val="-20"/>
          <w:kern w:val="0"/>
          <w:sz w:val="28"/>
          <w:szCs w:val="28"/>
        </w:rPr>
        <w:t>酬金：</w:t>
      </w:r>
    </w:p>
    <w:p w14:paraId="0852B725">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若委托人要求增加合同外的附加服务，发生时另行协商并签订补充协议。</w:t>
      </w:r>
    </w:p>
    <w:p w14:paraId="117FA651">
      <w:pPr>
        <w:pStyle w:val="4"/>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第二十六条   如果委托人对咨询人提交的支付通知书中酬金或部分酬金项目提出异议，应当在收到支付通知书</w:t>
      </w:r>
      <w:r>
        <w:rPr>
          <w:rFonts w:hint="eastAsia" w:ascii="宋体" w:hAnsi="宋体" w:eastAsia="宋体" w:cs="宋体"/>
          <w:bCs/>
          <w:spacing w:val="-20"/>
          <w:kern w:val="0"/>
          <w:sz w:val="28"/>
          <w:szCs w:val="28"/>
          <w:lang w:val="en-US" w:eastAsia="zh-CN"/>
        </w:rPr>
        <w:t>2个工作</w:t>
      </w:r>
      <w:r>
        <w:rPr>
          <w:rFonts w:hint="eastAsia" w:ascii="宋体" w:hAnsi="宋体" w:eastAsia="宋体" w:cs="宋体"/>
          <w:bCs/>
          <w:spacing w:val="-20"/>
          <w:kern w:val="0"/>
          <w:sz w:val="28"/>
          <w:szCs w:val="28"/>
        </w:rPr>
        <w:t>日内向咨询人发出异议的通知，但委托人不得拖延其无异议酬金项目的支付。</w:t>
      </w:r>
      <w:r>
        <w:rPr>
          <w:rFonts w:hint="eastAsia" w:ascii="宋体" w:hAnsi="宋体" w:eastAsia="宋体" w:cs="宋体"/>
          <w:bCs/>
          <w:spacing w:val="-20"/>
          <w:kern w:val="0"/>
          <w:sz w:val="28"/>
          <w:szCs w:val="28"/>
          <w:lang w:val="en-US" w:eastAsia="zh-CN"/>
        </w:rPr>
        <w:t>就</w:t>
      </w:r>
      <w:r>
        <w:rPr>
          <w:rFonts w:hint="eastAsia" w:ascii="宋体" w:hAnsi="宋体" w:eastAsia="宋体" w:cs="宋体"/>
          <w:bCs/>
          <w:spacing w:val="-20"/>
          <w:kern w:val="0"/>
          <w:sz w:val="28"/>
          <w:szCs w:val="28"/>
        </w:rPr>
        <w:t>双方产生争议的金额</w:t>
      </w:r>
      <w:r>
        <w:rPr>
          <w:rFonts w:hint="eastAsia" w:ascii="宋体" w:hAnsi="宋体" w:eastAsia="宋体" w:cs="宋体"/>
          <w:bCs/>
          <w:spacing w:val="-20"/>
          <w:kern w:val="0"/>
          <w:sz w:val="28"/>
          <w:szCs w:val="28"/>
          <w:lang w:val="en-US" w:eastAsia="zh-CN"/>
        </w:rPr>
        <w:t>不计取</w:t>
      </w:r>
      <w:r>
        <w:rPr>
          <w:rFonts w:hint="eastAsia" w:ascii="宋体" w:hAnsi="宋体" w:eastAsia="宋体" w:cs="宋体"/>
          <w:bCs/>
          <w:spacing w:val="-20"/>
          <w:kern w:val="0"/>
          <w:sz w:val="28"/>
          <w:szCs w:val="28"/>
        </w:rPr>
        <w:t>逾期利息</w:t>
      </w:r>
    </w:p>
    <w:p w14:paraId="75A34E9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第二十七条  双方同意用人民币公对公以转帐方式支付咨询费。</w:t>
      </w:r>
    </w:p>
    <w:p w14:paraId="58B3234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第三十二条  建设工程造价咨询合同在履行过程中发生争议，委托人与咨询人应及时协商解决；协商解决不成的，按下列第【</w:t>
      </w:r>
      <w:permStart w:id="38" w:edGrp="everyone"/>
      <w:r>
        <w:rPr>
          <w:rFonts w:hint="eastAsia" w:ascii="宋体" w:hAnsi="宋体" w:eastAsia="宋体" w:cs="宋体"/>
          <w:bCs/>
          <w:spacing w:val="-20"/>
          <w:kern w:val="0"/>
          <w:sz w:val="28"/>
          <w:szCs w:val="28"/>
        </w:rPr>
        <w:t xml:space="preserve">二 </w:t>
      </w:r>
      <w:permEnd w:id="38"/>
      <w:r>
        <w:rPr>
          <w:rFonts w:hint="eastAsia" w:ascii="宋体" w:hAnsi="宋体" w:eastAsia="宋体" w:cs="宋体"/>
          <w:bCs/>
          <w:spacing w:val="-20"/>
          <w:kern w:val="0"/>
          <w:sz w:val="28"/>
          <w:szCs w:val="28"/>
        </w:rPr>
        <w:t>】种方式解决：</w:t>
      </w:r>
    </w:p>
    <w:p w14:paraId="4903488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（一）提交重庆仲裁委员会仲裁；</w:t>
      </w:r>
    </w:p>
    <w:p w14:paraId="465B227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（二）依法向委托人所在地有管辖权的人民法院起诉。</w:t>
      </w:r>
    </w:p>
    <w:p w14:paraId="278134C8">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附加协议条款：</w:t>
      </w:r>
    </w:p>
    <w:p w14:paraId="3B53475A">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permStart w:id="39" w:edGrp="everyone"/>
      <w:r>
        <w:rPr>
          <w:rFonts w:hint="eastAsia" w:ascii="宋体" w:hAnsi="宋体" w:eastAsia="宋体" w:cs="宋体"/>
          <w:bCs/>
          <w:spacing w:val="-20"/>
          <w:kern w:val="0"/>
          <w:sz w:val="28"/>
          <w:szCs w:val="28"/>
        </w:rPr>
        <w:t>【1.委托人组织、协调咨询人与第三人进行现场踏勘或就地审核，咨询人应积极配合，自行准备车辆、检测设备及仪器。</w:t>
      </w:r>
    </w:p>
    <w:p w14:paraId="2A647A64">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2.咨询人指派本项目负责人*，专业人员*作为具体审核人，报委托人备案。咨询人擅自中途变更人员，应向委托人征求同意后更换同执业资格、同资历的审核人员。</w:t>
      </w:r>
    </w:p>
    <w:p w14:paraId="3E70A05E">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3.审核过程中，咨询人向委托人报送审核进度和中间结果，并提出合理化的管理建议，配合委托人的监督并提供、整理相关审核资料。</w:t>
      </w:r>
    </w:p>
    <w:p w14:paraId="45E5F447">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4.咨询人应配合委托人接受后续审计部门审计，但不另外计算费用。</w:t>
      </w:r>
    </w:p>
    <w:p w14:paraId="1CCE5EC6">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rPr>
        <w:t>5.咨询人应向委托人提供完整的审核结果，纸质版*份、电子光盘*份，并对审核过程中的工作底稿等进行整理归档，并移交委托人。</w:t>
      </w:r>
    </w:p>
    <w:p w14:paraId="4B1F6162">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lang w:val="en-US" w:eastAsia="zh-CN"/>
        </w:rPr>
      </w:pPr>
      <w:r>
        <w:rPr>
          <w:rFonts w:hint="eastAsia" w:ascii="宋体" w:hAnsi="宋体" w:eastAsia="宋体" w:cs="宋体"/>
          <w:bCs/>
          <w:spacing w:val="-20"/>
          <w:kern w:val="0"/>
          <w:sz w:val="28"/>
          <w:szCs w:val="28"/>
          <w:lang w:val="en-US" w:eastAsia="zh-CN"/>
        </w:rPr>
        <w:t>6.服务时限、进度及驻场要求：</w:t>
      </w:r>
    </w:p>
    <w:p w14:paraId="58D75DA1">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lang w:val="en-US" w:eastAsia="zh-CN"/>
        </w:rPr>
      </w:pPr>
      <w:r>
        <w:rPr>
          <w:rFonts w:hint="eastAsia" w:ascii="宋体" w:hAnsi="宋体" w:eastAsia="宋体" w:cs="宋体"/>
          <w:bCs/>
          <w:spacing w:val="-20"/>
          <w:kern w:val="0"/>
          <w:sz w:val="28"/>
          <w:szCs w:val="28"/>
          <w:lang w:val="en-US" w:eastAsia="zh-CN"/>
        </w:rPr>
        <w:t>①.服务时限：暂定90天，最终以比选人要求为准；</w:t>
      </w:r>
    </w:p>
    <w:p w14:paraId="13311FC3">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lang w:val="en-US" w:eastAsia="zh-CN"/>
        </w:rPr>
      </w:pPr>
      <w:r>
        <w:rPr>
          <w:rFonts w:hint="eastAsia" w:ascii="宋体" w:hAnsi="宋体" w:eastAsia="宋体" w:cs="宋体"/>
          <w:bCs/>
          <w:spacing w:val="-20"/>
          <w:kern w:val="0"/>
          <w:sz w:val="28"/>
          <w:szCs w:val="28"/>
          <w:lang w:val="en-US" w:eastAsia="zh-CN"/>
        </w:rPr>
        <w:t>②.进度要求：每月需完成比选人要求的项目数量结算工作；</w:t>
      </w:r>
    </w:p>
    <w:p w14:paraId="2B1A91B0">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lang w:val="en-US" w:eastAsia="zh-CN"/>
        </w:rPr>
      </w:pPr>
      <w:r>
        <w:rPr>
          <w:rFonts w:hint="eastAsia" w:ascii="宋体" w:hAnsi="宋体" w:eastAsia="宋体" w:cs="宋体"/>
          <w:bCs/>
          <w:spacing w:val="-20"/>
          <w:kern w:val="0"/>
          <w:sz w:val="28"/>
          <w:szCs w:val="28"/>
          <w:lang w:val="en-US" w:eastAsia="zh-CN"/>
        </w:rPr>
        <w:t>③.驻场要求：每周需按比选人要求不少于3个工作日有1名以上造价人员在比选人办公地点驻场办公；</w:t>
      </w:r>
    </w:p>
    <w:p w14:paraId="0A9BE173">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lang w:val="en-US" w:eastAsia="zh-CN"/>
        </w:rPr>
      </w:pPr>
      <w:r>
        <w:rPr>
          <w:rFonts w:hint="eastAsia" w:ascii="宋体" w:hAnsi="宋体" w:eastAsia="宋体" w:cs="宋体"/>
          <w:bCs/>
          <w:spacing w:val="-20"/>
          <w:kern w:val="0"/>
          <w:sz w:val="28"/>
          <w:szCs w:val="28"/>
          <w:lang w:val="en-US" w:eastAsia="zh-CN"/>
        </w:rPr>
        <w:t>④.如未在我司通知时间启动的，视为放弃中选资格。若中选人服务时限滞后，无法在规定的时限内完成承包范围内的全部工作任务，比选人视需要，有权对中选范围内的某一分项工程另行指定其他单位承担施工，费用从中选人相应费用中扣减，中选人应无条件接受；</w:t>
      </w:r>
    </w:p>
    <w:p w14:paraId="6A5DD62E">
      <w:pPr>
        <w:keepNext w:val="0"/>
        <w:keepLines w:val="0"/>
        <w:pageBreakBefore w:val="0"/>
        <w:kinsoku/>
        <w:wordWrap/>
        <w:overflowPunct/>
        <w:topLinePunct w:val="0"/>
        <w:autoSpaceDE/>
        <w:autoSpaceDN/>
        <w:bidi w:val="0"/>
        <w:adjustRightInd w:val="0"/>
        <w:snapToGrid w:val="0"/>
        <w:spacing w:after="40" w:line="400" w:lineRule="exact"/>
        <w:ind w:firstLine="480" w:firstLineChars="200"/>
        <w:textAlignment w:val="auto"/>
        <w:rPr>
          <w:rFonts w:hint="eastAsia" w:ascii="宋体" w:hAnsi="宋体" w:eastAsia="宋体" w:cs="宋体"/>
          <w:bCs/>
          <w:spacing w:val="-20"/>
          <w:kern w:val="0"/>
          <w:sz w:val="28"/>
          <w:szCs w:val="28"/>
        </w:rPr>
      </w:pPr>
      <w:r>
        <w:rPr>
          <w:rFonts w:hint="eastAsia" w:ascii="宋体" w:hAnsi="宋体" w:eastAsia="宋体" w:cs="宋体"/>
          <w:bCs/>
          <w:spacing w:val="-20"/>
          <w:kern w:val="0"/>
          <w:sz w:val="28"/>
          <w:szCs w:val="28"/>
          <w:lang w:val="en-US" w:eastAsia="zh-CN"/>
        </w:rPr>
        <w:t>⑤在服务过程中，如我方安排的管理人员不称职（工程质量、进度、服务等达不到合同相关条款要求），或不积极配合比选人工作，或不按要求驻场，我方无条件按比选人要求更换相关管理人员并接受罚款0.5万元/次，3天内我方未整改到位的，比选人有权单方面终止合同，我方无条件退场，并扣除我方缴纳的履约保证金，给比选人造成的损失超过履约保证金数额的，我方承担超过部分的所有损失。</w:t>
      </w:r>
      <w:r>
        <w:rPr>
          <w:rFonts w:hint="eastAsia" w:ascii="宋体" w:hAnsi="宋体" w:eastAsia="宋体" w:cs="宋体"/>
          <w:bCs/>
          <w:spacing w:val="-20"/>
          <w:kern w:val="0"/>
          <w:sz w:val="28"/>
          <w:szCs w:val="28"/>
        </w:rPr>
        <w:t>】</w:t>
      </w:r>
    </w:p>
    <w:permEnd w:id="39"/>
    <w:p w14:paraId="63FB7B66">
      <w:pPr>
        <w:keepNext w:val="0"/>
        <w:keepLines w:val="0"/>
        <w:pageBreakBefore w:val="0"/>
        <w:kinsoku/>
        <w:wordWrap/>
        <w:overflowPunct/>
        <w:topLinePunct w:val="0"/>
        <w:autoSpaceDE/>
        <w:autoSpaceDN/>
        <w:bidi w:val="0"/>
        <w:spacing w:line="400" w:lineRule="exact"/>
        <w:ind w:firstLine="480" w:firstLineChars="20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Cs/>
          <w:spacing w:val="-20"/>
          <w:kern w:val="0"/>
          <w:sz w:val="28"/>
          <w:szCs w:val="28"/>
        </w:rPr>
        <w:t>（以下无正文）</w:t>
      </w:r>
      <w:permStart w:id="40" w:edGrp="everyone"/>
      <w:permEnd w:id="40"/>
    </w:p>
    <w:p w14:paraId="2BF4159E">
      <w:pPr>
        <w:keepNext w:val="0"/>
        <w:keepLines w:val="0"/>
        <w:pageBreakBefore w:val="0"/>
        <w:kinsoku/>
        <w:wordWrap/>
        <w:overflowPunct/>
        <w:topLinePunct w:val="0"/>
        <w:autoSpaceDE/>
        <w:autoSpaceDN/>
        <w:bidi w:val="0"/>
        <w:spacing w:line="240" w:lineRule="auto"/>
        <w:ind w:firstLine="0" w:firstLineChars="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附件：1.工程造价咨询服务收费标准</w:t>
      </w:r>
    </w:p>
    <w:p w14:paraId="4B092276">
      <w:pPr>
        <w:keepNext w:val="0"/>
        <w:keepLines w:val="0"/>
        <w:pageBreakBefore w:val="0"/>
        <w:kinsoku/>
        <w:wordWrap/>
        <w:overflowPunct/>
        <w:topLinePunct w:val="0"/>
        <w:autoSpaceDE/>
        <w:autoSpaceDN/>
        <w:bidi w:val="0"/>
        <w:spacing w:line="240" w:lineRule="auto"/>
        <w:ind w:firstLine="0" w:firstLineChars="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2.暂定项目明细表</w:t>
      </w:r>
      <w:r>
        <w:rPr>
          <w:rFonts w:hint="eastAsia" w:ascii="宋体" w:hAnsi="宋体" w:eastAsia="宋体" w:cs="宋体"/>
          <w:color w:val="000000" w:themeColor="text1"/>
          <w:sz w:val="28"/>
          <w:szCs w:val="28"/>
          <w:lang w:val="en-US" w:eastAsia="zh-CN"/>
          <w14:textFill>
            <w14:solidFill>
              <w14:schemeClr w14:val="tx1"/>
            </w14:solidFill>
          </w14:textFill>
        </w:rPr>
        <w:br w:type="page"/>
      </w:r>
    </w:p>
    <w:p w14:paraId="7B3F56BB">
      <w:pPr>
        <w:keepNext w:val="0"/>
        <w:keepLines w:val="0"/>
        <w:pageBreakBefore w:val="0"/>
        <w:kinsoku/>
        <w:wordWrap/>
        <w:overflowPunct/>
        <w:topLinePunct w:val="0"/>
        <w:autoSpaceDE/>
        <w:autoSpaceDN/>
        <w:bidi w:val="0"/>
        <w:spacing w:line="400" w:lineRule="exac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附件1：</w:t>
      </w:r>
    </w:p>
    <w:tbl>
      <w:tblPr>
        <w:tblStyle w:val="13"/>
        <w:tblW w:w="86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5"/>
        <w:gridCol w:w="1594"/>
        <w:gridCol w:w="1116"/>
        <w:gridCol w:w="1316"/>
        <w:gridCol w:w="1184"/>
        <w:gridCol w:w="920"/>
        <w:gridCol w:w="782"/>
        <w:gridCol w:w="983"/>
      </w:tblGrid>
      <w:tr w14:paraId="1E5B5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3" w:hRule="atLeast"/>
        </w:trPr>
        <w:tc>
          <w:tcPr>
            <w:tcW w:w="8680" w:type="dxa"/>
            <w:gridSpan w:val="8"/>
            <w:tcBorders>
              <w:top w:val="nil"/>
              <w:left w:val="nil"/>
              <w:bottom w:val="nil"/>
              <w:right w:val="nil"/>
            </w:tcBorders>
            <w:shd w:val="clear" w:color="auto" w:fill="auto"/>
            <w:noWrap/>
            <w:vAlign w:val="center"/>
          </w:tcPr>
          <w:p w14:paraId="2BB90E44">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31"/>
                <w:szCs w:val="31"/>
                <w:u w:val="none"/>
                <w:lang w:val="en-US"/>
              </w:rPr>
            </w:pPr>
            <w:r>
              <w:rPr>
                <w:rFonts w:hint="eastAsia" w:ascii="方正黑体_GBK" w:hAnsi="方正黑体_GBK" w:eastAsia="方正黑体_GBK" w:cs="方正黑体_GBK"/>
                <w:i w:val="0"/>
                <w:iCs w:val="0"/>
                <w:color w:val="000000"/>
                <w:kern w:val="0"/>
                <w:sz w:val="31"/>
                <w:szCs w:val="31"/>
                <w:u w:val="none"/>
                <w:lang w:val="en-US" w:eastAsia="zh-CN" w:bidi="ar"/>
              </w:rPr>
              <w:t>工程造价咨询服务收费标准</w:t>
            </w:r>
          </w:p>
        </w:tc>
      </w:tr>
      <w:tr w14:paraId="52A46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gridSpan w:val="8"/>
            <w:tcBorders>
              <w:top w:val="nil"/>
              <w:left w:val="nil"/>
              <w:bottom w:val="nil"/>
              <w:right w:val="nil"/>
            </w:tcBorders>
            <w:shd w:val="clear" w:color="auto" w:fill="auto"/>
            <w:noWrap/>
            <w:vAlign w:val="center"/>
          </w:tcPr>
          <w:p w14:paraId="6E9712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参考计费标准：渝价〔2013〕428 号文</w:t>
            </w:r>
          </w:p>
        </w:tc>
      </w:tr>
      <w:tr w14:paraId="292A3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9D54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C273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收费项目</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DCB4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计费基数（亿元）</w:t>
            </w:r>
          </w:p>
        </w:tc>
      </w:tr>
      <w:tr w14:paraId="40DB8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BD2D7">
            <w:pPr>
              <w:jc w:val="center"/>
              <w:rPr>
                <w:rFonts w:hint="eastAsia" w:ascii="宋体" w:hAnsi="宋体" w:eastAsia="宋体" w:cs="宋体"/>
                <w:b/>
                <w:bCs/>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7A640">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BDF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0.05内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CB6E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0.05-0.1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64F6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0EF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5D8C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4775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3以上</w:t>
            </w:r>
          </w:p>
        </w:tc>
      </w:tr>
      <w:tr w14:paraId="3C4FC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3A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F1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清单结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算审核标准费率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C1B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0.35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F2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0.30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D70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0.25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8BD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63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6B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0.15 </w:t>
            </w:r>
          </w:p>
        </w:tc>
      </w:tr>
      <w:tr w14:paraId="01E0D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trPr>
        <w:tc>
          <w:tcPr>
            <w:tcW w:w="8680" w:type="dxa"/>
            <w:gridSpan w:val="8"/>
            <w:tcBorders>
              <w:top w:val="nil"/>
              <w:left w:val="nil"/>
              <w:bottom w:val="nil"/>
              <w:right w:val="nil"/>
            </w:tcBorders>
            <w:shd w:val="clear" w:color="auto" w:fill="auto"/>
            <w:vAlign w:val="center"/>
          </w:tcPr>
          <w:p w14:paraId="00DED11B">
            <w:pPr>
              <w:keepNext w:val="0"/>
              <w:keepLines w:val="0"/>
              <w:widowControl/>
              <w:suppressLineNumbers w:val="0"/>
              <w:jc w:val="left"/>
              <w:textAlignment w:val="auto"/>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备注：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1.出具正式结算或清算咨询报告的保底</w:t>
            </w:r>
            <w:r>
              <w:rPr>
                <w:rFonts w:hint="default" w:ascii="宋体" w:hAnsi="宋体" w:eastAsia="宋体" w:cs="宋体"/>
                <w:i w:val="0"/>
                <w:iCs w:val="0"/>
                <w:color w:val="000000"/>
                <w:kern w:val="0"/>
                <w:sz w:val="20"/>
                <w:szCs w:val="20"/>
                <w:u w:val="none"/>
                <w:lang w:val="en-US" w:eastAsia="zh-CN" w:bidi="ar"/>
              </w:rPr>
              <w:t>0.3</w:t>
            </w:r>
            <w:r>
              <w:rPr>
                <w:rFonts w:hint="eastAsia" w:ascii="宋体" w:hAnsi="宋体" w:eastAsia="宋体" w:cs="宋体"/>
                <w:i w:val="0"/>
                <w:iCs w:val="0"/>
                <w:color w:val="000000"/>
                <w:kern w:val="0"/>
                <w:sz w:val="20"/>
                <w:szCs w:val="20"/>
                <w:u w:val="none"/>
                <w:lang w:val="en-US" w:eastAsia="zh-CN" w:bidi="ar"/>
              </w:rPr>
              <w:t>万元；结算审核及过程跟踪咨询费计费基数为结算送审金额；咨询费按照累进制计取；</w:t>
            </w:r>
          </w:p>
          <w:p w14:paraId="732160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2.出具项目咨询建议报告的单独按1000元/个项目，不按本表计费。</w:t>
            </w:r>
          </w:p>
        </w:tc>
      </w:tr>
    </w:tbl>
    <w:p w14:paraId="38295880">
      <w:pPr>
        <w:keepNext w:val="0"/>
        <w:keepLines w:val="0"/>
        <w:pageBreakBefore w:val="0"/>
        <w:kinsoku/>
        <w:wordWrap/>
        <w:overflowPunct/>
        <w:topLinePunct w:val="0"/>
        <w:autoSpaceDE/>
        <w:autoSpaceDN/>
        <w:bidi w:val="0"/>
        <w:spacing w:line="400" w:lineRule="exact"/>
        <w:ind w:firstLine="0" w:firstLineChars="0"/>
        <w:jc w:val="left"/>
        <w:textAlignment w:val="auto"/>
        <w:rPr>
          <w:rFonts w:hint="default" w:ascii="宋体" w:hAnsi="宋体" w:eastAsia="宋体" w:cs="宋体"/>
          <w:color w:val="000000" w:themeColor="text1"/>
          <w:sz w:val="28"/>
          <w:szCs w:val="28"/>
          <w:lang w:val="en-US" w:eastAsia="zh-CN"/>
          <w14:textFill>
            <w14:solidFill>
              <w14:schemeClr w14:val="tx1"/>
            </w14:solidFill>
          </w14:textFill>
        </w:rPr>
      </w:pPr>
    </w:p>
    <w:sectPr>
      <w:headerReference r:id="rId3" w:type="default"/>
      <w:footerReference r:id="rId4" w:type="default"/>
      <w:pgSz w:w="11906" w:h="16838"/>
      <w:pgMar w:top="1440" w:right="1080" w:bottom="1440" w:left="1080" w:header="567" w:footer="567"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1" w:fontKey="{B2788157-38CF-499F-8A9A-79D2476B3AB5}"/>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embedRegular r:id="rId2" w:fontKey="{87E8C8DA-EE92-47C9-9EF0-4DE55674B727}"/>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021E2">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B59C75B">
                          <w:pPr>
                            <w:pStyle w:val="8"/>
                            <w:rPr>
                              <w:rFonts w:hint="eastAsia" w:ascii="宋体" w:hAnsi="宋体" w:eastAsia="宋体" w:cs="宋体"/>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23</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1B59C75B">
                    <w:pPr>
                      <w:pStyle w:val="8"/>
                      <w:rPr>
                        <w:rFonts w:hint="eastAsia" w:ascii="宋体" w:hAnsi="宋体" w:eastAsia="宋体" w:cs="宋体"/>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23</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FC4F0">
    <w:pPr>
      <w:pStyle w:val="9"/>
      <w:keepNext w:val="0"/>
      <w:keepLines w:val="0"/>
      <w:pageBreakBefore w:val="0"/>
      <w:widowControl w:val="0"/>
      <w:pBdr>
        <w:bottom w:val="none" w:color="auto" w:sz="0" w:space="28"/>
      </w:pBdr>
      <w:kinsoku/>
      <w:wordWrap/>
      <w:overflowPunct/>
      <w:topLinePunct w:val="0"/>
      <w:bidi w:val="0"/>
      <w:adjustRightInd/>
      <w:snapToGrid w:val="0"/>
      <w:spacing w:after="0" w:afterAutospacing="0"/>
      <w:jc w:val="right"/>
      <w:textAlignment w:val="auto"/>
      <w:rPr>
        <w:sz w:val="21"/>
        <w:szCs w:val="21"/>
      </w:rPr>
    </w:pPr>
    <w:r>
      <w:rPr>
        <w:rFonts w:hint="eastAsia" w:ascii="宋体" w:hAnsi="宋体" w:eastAsia="宋体" w:cs="宋体"/>
        <w:color w:val="000000" w:themeColor="text1"/>
        <w:spacing w:val="-20"/>
        <w:sz w:val="21"/>
        <w:szCs w:val="21"/>
        <w14:textFill>
          <w14:solidFill>
            <w14:schemeClr w14:val="tx1"/>
          </w14:solidFill>
        </w14:textFill>
      </w:rPr>
      <w:t>重庆两江新城城市运营管理有限公司</w:t>
    </w:r>
    <w:r>
      <w:rPr>
        <w:rFonts w:hint="eastAsia" w:ascii="宋体" w:hAnsi="宋体" w:cs="宋体"/>
        <w:color w:val="000000" w:themeColor="text1"/>
        <w:spacing w:val="-20"/>
        <w:sz w:val="21"/>
        <w:szCs w:val="21"/>
        <w:lang w:val="en-US" w:eastAsia="zh-CN"/>
        <w14:textFill>
          <w14:solidFill>
            <w14:schemeClr w14:val="tx1"/>
          </w14:solidFill>
        </w14:textFill>
      </w:rPr>
      <w:t>XC</w:t>
    </w:r>
    <w:r>
      <w:rPr>
        <w:rFonts w:hint="eastAsia" w:ascii="宋体" w:hAnsi="宋体" w:eastAsia="宋体" w:cs="宋体"/>
        <w:color w:val="000000" w:themeColor="text1"/>
        <w:spacing w:val="-20"/>
        <w:sz w:val="21"/>
        <w:szCs w:val="21"/>
        <w14:textFill>
          <w14:solidFill>
            <w14:schemeClr w14:val="tx1"/>
          </w14:solidFill>
        </w14:textFill>
      </w:rPr>
      <w:t>202</w:t>
    </w:r>
    <w:r>
      <w:rPr>
        <w:rFonts w:hint="eastAsia" w:ascii="宋体" w:hAnsi="宋体" w:cs="宋体"/>
        <w:color w:val="000000" w:themeColor="text1"/>
        <w:spacing w:val="-20"/>
        <w:sz w:val="21"/>
        <w:szCs w:val="21"/>
        <w:lang w:val="en-US" w:eastAsia="zh-CN"/>
        <w14:textFill>
          <w14:solidFill>
            <w14:schemeClr w14:val="tx1"/>
          </w14:solidFill>
        </w14:textFill>
      </w:rPr>
      <w:t>5</w:t>
    </w:r>
    <w:r>
      <w:rPr>
        <w:rFonts w:hint="eastAsia" w:ascii="宋体" w:hAnsi="宋体" w:eastAsia="宋体" w:cs="宋体"/>
        <w:color w:val="000000" w:themeColor="text1"/>
        <w:spacing w:val="-20"/>
        <w:sz w:val="21"/>
        <w:szCs w:val="21"/>
        <w14:textFill>
          <w14:solidFill>
            <w14:schemeClr w14:val="tx1"/>
          </w14:solidFill>
        </w14:textFill>
      </w:rPr>
      <w:t>0</w:t>
    </w:r>
    <w:r>
      <w:rPr>
        <w:rFonts w:hint="eastAsia" w:ascii="宋体" w:hAnsi="宋体" w:cs="宋体"/>
        <w:color w:val="000000" w:themeColor="text1"/>
        <w:spacing w:val="-20"/>
        <w:sz w:val="21"/>
        <w:szCs w:val="21"/>
        <w:lang w:val="en-US" w:eastAsia="zh-CN"/>
        <w14:textFill>
          <w14:solidFill>
            <w14:schemeClr w14:val="tx1"/>
          </w14:solidFill>
        </w14:textFill>
      </w:rPr>
      <w:t>4003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dit="readOnly" w:formatting="1"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mNmNkNjA4NTA5MWRiMDU1NWU4NDA2YTNlYzg0NzMifQ=="/>
  </w:docVars>
  <w:rsids>
    <w:rsidRoot w:val="64495261"/>
    <w:rsid w:val="00003796"/>
    <w:rsid w:val="00021254"/>
    <w:rsid w:val="000216F4"/>
    <w:rsid w:val="000230D4"/>
    <w:rsid w:val="00027F90"/>
    <w:rsid w:val="00030936"/>
    <w:rsid w:val="0003716B"/>
    <w:rsid w:val="00041323"/>
    <w:rsid w:val="000421B2"/>
    <w:rsid w:val="000443CE"/>
    <w:rsid w:val="0004739E"/>
    <w:rsid w:val="00050076"/>
    <w:rsid w:val="000527E3"/>
    <w:rsid w:val="00061DC1"/>
    <w:rsid w:val="00064441"/>
    <w:rsid w:val="00070682"/>
    <w:rsid w:val="00071D0B"/>
    <w:rsid w:val="000749B0"/>
    <w:rsid w:val="000927B7"/>
    <w:rsid w:val="000A3524"/>
    <w:rsid w:val="000B04DF"/>
    <w:rsid w:val="000B08C3"/>
    <w:rsid w:val="000B258F"/>
    <w:rsid w:val="000B4D14"/>
    <w:rsid w:val="000C1337"/>
    <w:rsid w:val="000C3326"/>
    <w:rsid w:val="000C4C84"/>
    <w:rsid w:val="000C6C65"/>
    <w:rsid w:val="000D0C88"/>
    <w:rsid w:val="000D5A63"/>
    <w:rsid w:val="000E63BC"/>
    <w:rsid w:val="000F6067"/>
    <w:rsid w:val="00102E31"/>
    <w:rsid w:val="001036FB"/>
    <w:rsid w:val="001038E0"/>
    <w:rsid w:val="00104FC1"/>
    <w:rsid w:val="00114A16"/>
    <w:rsid w:val="0011625D"/>
    <w:rsid w:val="00117725"/>
    <w:rsid w:val="00123F1E"/>
    <w:rsid w:val="00134B8F"/>
    <w:rsid w:val="00145FDD"/>
    <w:rsid w:val="001503DE"/>
    <w:rsid w:val="001533B7"/>
    <w:rsid w:val="00153CAC"/>
    <w:rsid w:val="00154792"/>
    <w:rsid w:val="00155754"/>
    <w:rsid w:val="001563DC"/>
    <w:rsid w:val="00156D50"/>
    <w:rsid w:val="0015708E"/>
    <w:rsid w:val="001608C4"/>
    <w:rsid w:val="00166DFE"/>
    <w:rsid w:val="00175EE4"/>
    <w:rsid w:val="00185B0F"/>
    <w:rsid w:val="0019257D"/>
    <w:rsid w:val="00194D8D"/>
    <w:rsid w:val="00197A2F"/>
    <w:rsid w:val="001A653E"/>
    <w:rsid w:val="001B42B1"/>
    <w:rsid w:val="001B7D59"/>
    <w:rsid w:val="001C5477"/>
    <w:rsid w:val="001D309B"/>
    <w:rsid w:val="001D654D"/>
    <w:rsid w:val="001E2B1E"/>
    <w:rsid w:val="001E6BA8"/>
    <w:rsid w:val="001F1462"/>
    <w:rsid w:val="001F259E"/>
    <w:rsid w:val="001F4FE0"/>
    <w:rsid w:val="001F65FB"/>
    <w:rsid w:val="00200AC3"/>
    <w:rsid w:val="0020411C"/>
    <w:rsid w:val="00206D63"/>
    <w:rsid w:val="00207207"/>
    <w:rsid w:val="00207B36"/>
    <w:rsid w:val="00212652"/>
    <w:rsid w:val="00213CF7"/>
    <w:rsid w:val="00216A8E"/>
    <w:rsid w:val="0022072D"/>
    <w:rsid w:val="0022311B"/>
    <w:rsid w:val="00224A04"/>
    <w:rsid w:val="0022669C"/>
    <w:rsid w:val="00226B10"/>
    <w:rsid w:val="00226B4A"/>
    <w:rsid w:val="00241D5A"/>
    <w:rsid w:val="00250318"/>
    <w:rsid w:val="00252780"/>
    <w:rsid w:val="002623B6"/>
    <w:rsid w:val="00267132"/>
    <w:rsid w:val="002701E8"/>
    <w:rsid w:val="00270EC7"/>
    <w:rsid w:val="002724D9"/>
    <w:rsid w:val="0027306E"/>
    <w:rsid w:val="00275172"/>
    <w:rsid w:val="00275CF3"/>
    <w:rsid w:val="002765F8"/>
    <w:rsid w:val="00286E83"/>
    <w:rsid w:val="00292950"/>
    <w:rsid w:val="00293B1E"/>
    <w:rsid w:val="0029404A"/>
    <w:rsid w:val="00297892"/>
    <w:rsid w:val="002A255E"/>
    <w:rsid w:val="002A2815"/>
    <w:rsid w:val="002A6CD5"/>
    <w:rsid w:val="002B4CD5"/>
    <w:rsid w:val="002C7F88"/>
    <w:rsid w:val="002D0129"/>
    <w:rsid w:val="002D6001"/>
    <w:rsid w:val="002D7952"/>
    <w:rsid w:val="002E083F"/>
    <w:rsid w:val="002E10C6"/>
    <w:rsid w:val="002E67B4"/>
    <w:rsid w:val="002F2A2F"/>
    <w:rsid w:val="002F5A85"/>
    <w:rsid w:val="00300CB3"/>
    <w:rsid w:val="00301B8C"/>
    <w:rsid w:val="00311E9C"/>
    <w:rsid w:val="003136D7"/>
    <w:rsid w:val="00314AFE"/>
    <w:rsid w:val="00317D04"/>
    <w:rsid w:val="00321A05"/>
    <w:rsid w:val="0032328E"/>
    <w:rsid w:val="003239CE"/>
    <w:rsid w:val="0033027E"/>
    <w:rsid w:val="00330CF6"/>
    <w:rsid w:val="0035131E"/>
    <w:rsid w:val="00353AC1"/>
    <w:rsid w:val="003869D9"/>
    <w:rsid w:val="003A00D5"/>
    <w:rsid w:val="003A3A04"/>
    <w:rsid w:val="003A751F"/>
    <w:rsid w:val="003A755E"/>
    <w:rsid w:val="003C2498"/>
    <w:rsid w:val="003C28CF"/>
    <w:rsid w:val="003C4658"/>
    <w:rsid w:val="003D003F"/>
    <w:rsid w:val="003D7640"/>
    <w:rsid w:val="003E1248"/>
    <w:rsid w:val="003E284F"/>
    <w:rsid w:val="003E6932"/>
    <w:rsid w:val="003E6C1D"/>
    <w:rsid w:val="003F47A2"/>
    <w:rsid w:val="00404CFB"/>
    <w:rsid w:val="0041375C"/>
    <w:rsid w:val="0041692D"/>
    <w:rsid w:val="00420970"/>
    <w:rsid w:val="0043036C"/>
    <w:rsid w:val="004313E4"/>
    <w:rsid w:val="00432A08"/>
    <w:rsid w:val="00433442"/>
    <w:rsid w:val="004348B3"/>
    <w:rsid w:val="00440662"/>
    <w:rsid w:val="00441514"/>
    <w:rsid w:val="00441C1F"/>
    <w:rsid w:val="00453491"/>
    <w:rsid w:val="00454DA8"/>
    <w:rsid w:val="00456267"/>
    <w:rsid w:val="00457309"/>
    <w:rsid w:val="00467ECD"/>
    <w:rsid w:val="00471365"/>
    <w:rsid w:val="004815AE"/>
    <w:rsid w:val="00485551"/>
    <w:rsid w:val="0049198F"/>
    <w:rsid w:val="00496A24"/>
    <w:rsid w:val="004A0698"/>
    <w:rsid w:val="004A376B"/>
    <w:rsid w:val="004A49E8"/>
    <w:rsid w:val="004A5A08"/>
    <w:rsid w:val="004A7EB2"/>
    <w:rsid w:val="004B31ED"/>
    <w:rsid w:val="004B6DCE"/>
    <w:rsid w:val="004B765A"/>
    <w:rsid w:val="004C415A"/>
    <w:rsid w:val="004C5625"/>
    <w:rsid w:val="004C6182"/>
    <w:rsid w:val="004C6364"/>
    <w:rsid w:val="004D02E9"/>
    <w:rsid w:val="004D1543"/>
    <w:rsid w:val="004F1167"/>
    <w:rsid w:val="004F6C6B"/>
    <w:rsid w:val="0050537B"/>
    <w:rsid w:val="0051169E"/>
    <w:rsid w:val="00527EEC"/>
    <w:rsid w:val="00530496"/>
    <w:rsid w:val="00531E33"/>
    <w:rsid w:val="0053601B"/>
    <w:rsid w:val="00547FF0"/>
    <w:rsid w:val="005514AA"/>
    <w:rsid w:val="0055786D"/>
    <w:rsid w:val="00561173"/>
    <w:rsid w:val="00562455"/>
    <w:rsid w:val="0059237C"/>
    <w:rsid w:val="00595278"/>
    <w:rsid w:val="005B6A30"/>
    <w:rsid w:val="005C0C7C"/>
    <w:rsid w:val="005C6E73"/>
    <w:rsid w:val="005D1255"/>
    <w:rsid w:val="005D166C"/>
    <w:rsid w:val="005D193C"/>
    <w:rsid w:val="005D5959"/>
    <w:rsid w:val="005F011B"/>
    <w:rsid w:val="005F208D"/>
    <w:rsid w:val="005F2BC4"/>
    <w:rsid w:val="005F6360"/>
    <w:rsid w:val="005F69DE"/>
    <w:rsid w:val="00601845"/>
    <w:rsid w:val="00614E0D"/>
    <w:rsid w:val="006244AF"/>
    <w:rsid w:val="00625E24"/>
    <w:rsid w:val="00625FD8"/>
    <w:rsid w:val="00632316"/>
    <w:rsid w:val="00635D6E"/>
    <w:rsid w:val="00640D83"/>
    <w:rsid w:val="0064239A"/>
    <w:rsid w:val="00650F3D"/>
    <w:rsid w:val="006515BB"/>
    <w:rsid w:val="0065403A"/>
    <w:rsid w:val="006578C4"/>
    <w:rsid w:val="006671A4"/>
    <w:rsid w:val="00671D0D"/>
    <w:rsid w:val="00672757"/>
    <w:rsid w:val="00673ABA"/>
    <w:rsid w:val="006775CA"/>
    <w:rsid w:val="00677ECD"/>
    <w:rsid w:val="00682CDD"/>
    <w:rsid w:val="00684211"/>
    <w:rsid w:val="006934F2"/>
    <w:rsid w:val="006953A1"/>
    <w:rsid w:val="006B212D"/>
    <w:rsid w:val="006C01F4"/>
    <w:rsid w:val="006C0ACA"/>
    <w:rsid w:val="006C0E58"/>
    <w:rsid w:val="006C2A68"/>
    <w:rsid w:val="006F2EA1"/>
    <w:rsid w:val="006F7F7E"/>
    <w:rsid w:val="00700122"/>
    <w:rsid w:val="007023B4"/>
    <w:rsid w:val="007076F8"/>
    <w:rsid w:val="00712F4A"/>
    <w:rsid w:val="007145F0"/>
    <w:rsid w:val="00737ECF"/>
    <w:rsid w:val="00740E43"/>
    <w:rsid w:val="0074548F"/>
    <w:rsid w:val="0074658D"/>
    <w:rsid w:val="00750400"/>
    <w:rsid w:val="00753C0A"/>
    <w:rsid w:val="00757EA1"/>
    <w:rsid w:val="0076042A"/>
    <w:rsid w:val="00762585"/>
    <w:rsid w:val="00766956"/>
    <w:rsid w:val="00767055"/>
    <w:rsid w:val="00771CD6"/>
    <w:rsid w:val="00774316"/>
    <w:rsid w:val="00783D4D"/>
    <w:rsid w:val="00797428"/>
    <w:rsid w:val="007A1238"/>
    <w:rsid w:val="007A152F"/>
    <w:rsid w:val="007A20F6"/>
    <w:rsid w:val="007A413A"/>
    <w:rsid w:val="007A5B60"/>
    <w:rsid w:val="007A7DA4"/>
    <w:rsid w:val="007B0E7B"/>
    <w:rsid w:val="007B13BD"/>
    <w:rsid w:val="007B4267"/>
    <w:rsid w:val="007B43D3"/>
    <w:rsid w:val="007C5D8D"/>
    <w:rsid w:val="007D5560"/>
    <w:rsid w:val="007E4B94"/>
    <w:rsid w:val="007F2190"/>
    <w:rsid w:val="007F22D5"/>
    <w:rsid w:val="00801628"/>
    <w:rsid w:val="008021E4"/>
    <w:rsid w:val="00805351"/>
    <w:rsid w:val="00805D2C"/>
    <w:rsid w:val="00815ADC"/>
    <w:rsid w:val="008178FB"/>
    <w:rsid w:val="00824893"/>
    <w:rsid w:val="00825EEC"/>
    <w:rsid w:val="00827B3B"/>
    <w:rsid w:val="008374FE"/>
    <w:rsid w:val="00840C84"/>
    <w:rsid w:val="008412E7"/>
    <w:rsid w:val="00846EC0"/>
    <w:rsid w:val="00855524"/>
    <w:rsid w:val="00856487"/>
    <w:rsid w:val="00856873"/>
    <w:rsid w:val="008649B2"/>
    <w:rsid w:val="008656F9"/>
    <w:rsid w:val="00866262"/>
    <w:rsid w:val="00873239"/>
    <w:rsid w:val="00875D14"/>
    <w:rsid w:val="00876B28"/>
    <w:rsid w:val="00882E1C"/>
    <w:rsid w:val="00890E0B"/>
    <w:rsid w:val="00892F5A"/>
    <w:rsid w:val="00893D02"/>
    <w:rsid w:val="00893EA5"/>
    <w:rsid w:val="008A0461"/>
    <w:rsid w:val="008A4AB3"/>
    <w:rsid w:val="008B2400"/>
    <w:rsid w:val="008B259C"/>
    <w:rsid w:val="008B7747"/>
    <w:rsid w:val="008C1C49"/>
    <w:rsid w:val="008C5C5A"/>
    <w:rsid w:val="008D05C3"/>
    <w:rsid w:val="008D655A"/>
    <w:rsid w:val="008E180F"/>
    <w:rsid w:val="008E2A54"/>
    <w:rsid w:val="008E3D0E"/>
    <w:rsid w:val="008E43BF"/>
    <w:rsid w:val="008F136E"/>
    <w:rsid w:val="008F2B97"/>
    <w:rsid w:val="008F3699"/>
    <w:rsid w:val="00904D12"/>
    <w:rsid w:val="0091743C"/>
    <w:rsid w:val="0092241E"/>
    <w:rsid w:val="00924BE0"/>
    <w:rsid w:val="00926AE4"/>
    <w:rsid w:val="009274D3"/>
    <w:rsid w:val="00927503"/>
    <w:rsid w:val="00932E73"/>
    <w:rsid w:val="00944738"/>
    <w:rsid w:val="00946976"/>
    <w:rsid w:val="00946DEF"/>
    <w:rsid w:val="009518A3"/>
    <w:rsid w:val="0095580B"/>
    <w:rsid w:val="009620AD"/>
    <w:rsid w:val="00965341"/>
    <w:rsid w:val="00982A90"/>
    <w:rsid w:val="00987BC7"/>
    <w:rsid w:val="009A6D22"/>
    <w:rsid w:val="009A7F90"/>
    <w:rsid w:val="009B135F"/>
    <w:rsid w:val="009B1554"/>
    <w:rsid w:val="009B29EB"/>
    <w:rsid w:val="009B5775"/>
    <w:rsid w:val="009B76D7"/>
    <w:rsid w:val="009C0643"/>
    <w:rsid w:val="009C252E"/>
    <w:rsid w:val="009C54A7"/>
    <w:rsid w:val="009D3155"/>
    <w:rsid w:val="009E3B08"/>
    <w:rsid w:val="009F1796"/>
    <w:rsid w:val="009F3B61"/>
    <w:rsid w:val="009F5EA8"/>
    <w:rsid w:val="00A00FAA"/>
    <w:rsid w:val="00A05332"/>
    <w:rsid w:val="00A21C0F"/>
    <w:rsid w:val="00A23974"/>
    <w:rsid w:val="00A27169"/>
    <w:rsid w:val="00A308F1"/>
    <w:rsid w:val="00A313D6"/>
    <w:rsid w:val="00A31C9F"/>
    <w:rsid w:val="00A32EF0"/>
    <w:rsid w:val="00A37280"/>
    <w:rsid w:val="00A44568"/>
    <w:rsid w:val="00A45673"/>
    <w:rsid w:val="00A4785A"/>
    <w:rsid w:val="00A512F4"/>
    <w:rsid w:val="00A5647E"/>
    <w:rsid w:val="00A57021"/>
    <w:rsid w:val="00A579A2"/>
    <w:rsid w:val="00A84B37"/>
    <w:rsid w:val="00A86165"/>
    <w:rsid w:val="00A92D90"/>
    <w:rsid w:val="00A93A4D"/>
    <w:rsid w:val="00A95DF6"/>
    <w:rsid w:val="00A965BA"/>
    <w:rsid w:val="00AA22F4"/>
    <w:rsid w:val="00AA2A81"/>
    <w:rsid w:val="00AA3C4A"/>
    <w:rsid w:val="00AB295B"/>
    <w:rsid w:val="00AB3709"/>
    <w:rsid w:val="00AB5864"/>
    <w:rsid w:val="00AC34F4"/>
    <w:rsid w:val="00AC3B22"/>
    <w:rsid w:val="00AD0EB6"/>
    <w:rsid w:val="00AD2D92"/>
    <w:rsid w:val="00AD7833"/>
    <w:rsid w:val="00AE0AB9"/>
    <w:rsid w:val="00AE0E0B"/>
    <w:rsid w:val="00AE1BED"/>
    <w:rsid w:val="00AF203D"/>
    <w:rsid w:val="00AF7F59"/>
    <w:rsid w:val="00B01BD0"/>
    <w:rsid w:val="00B05B71"/>
    <w:rsid w:val="00B0771B"/>
    <w:rsid w:val="00B14282"/>
    <w:rsid w:val="00B24215"/>
    <w:rsid w:val="00B3023B"/>
    <w:rsid w:val="00B31163"/>
    <w:rsid w:val="00B33852"/>
    <w:rsid w:val="00B356AF"/>
    <w:rsid w:val="00B41FCE"/>
    <w:rsid w:val="00B452CE"/>
    <w:rsid w:val="00B47A2E"/>
    <w:rsid w:val="00B62FAF"/>
    <w:rsid w:val="00B728FA"/>
    <w:rsid w:val="00B73BA5"/>
    <w:rsid w:val="00B80562"/>
    <w:rsid w:val="00B813DC"/>
    <w:rsid w:val="00B81817"/>
    <w:rsid w:val="00B836FB"/>
    <w:rsid w:val="00B90CFF"/>
    <w:rsid w:val="00B90F35"/>
    <w:rsid w:val="00B97771"/>
    <w:rsid w:val="00BA093B"/>
    <w:rsid w:val="00BA755A"/>
    <w:rsid w:val="00BB1964"/>
    <w:rsid w:val="00BB282B"/>
    <w:rsid w:val="00BB3D35"/>
    <w:rsid w:val="00BB3DAB"/>
    <w:rsid w:val="00BC00EA"/>
    <w:rsid w:val="00BC35D8"/>
    <w:rsid w:val="00BC4EB6"/>
    <w:rsid w:val="00BC63CE"/>
    <w:rsid w:val="00BD6231"/>
    <w:rsid w:val="00BE655A"/>
    <w:rsid w:val="00BE7E05"/>
    <w:rsid w:val="00BF27EF"/>
    <w:rsid w:val="00C11CE3"/>
    <w:rsid w:val="00C149B4"/>
    <w:rsid w:val="00C2215B"/>
    <w:rsid w:val="00C24A22"/>
    <w:rsid w:val="00C31E1F"/>
    <w:rsid w:val="00C320D9"/>
    <w:rsid w:val="00C32329"/>
    <w:rsid w:val="00C32C4C"/>
    <w:rsid w:val="00C3544B"/>
    <w:rsid w:val="00C465EC"/>
    <w:rsid w:val="00C46703"/>
    <w:rsid w:val="00C47900"/>
    <w:rsid w:val="00C53AD6"/>
    <w:rsid w:val="00C53FA6"/>
    <w:rsid w:val="00C62B08"/>
    <w:rsid w:val="00C65419"/>
    <w:rsid w:val="00C658FE"/>
    <w:rsid w:val="00C8105A"/>
    <w:rsid w:val="00C86FD5"/>
    <w:rsid w:val="00C90F40"/>
    <w:rsid w:val="00C95F45"/>
    <w:rsid w:val="00CB0A1F"/>
    <w:rsid w:val="00CB517A"/>
    <w:rsid w:val="00CB7AEC"/>
    <w:rsid w:val="00CC077D"/>
    <w:rsid w:val="00CC5E65"/>
    <w:rsid w:val="00CC76C6"/>
    <w:rsid w:val="00CD4A9F"/>
    <w:rsid w:val="00CD7043"/>
    <w:rsid w:val="00CE155D"/>
    <w:rsid w:val="00CE5AE7"/>
    <w:rsid w:val="00CE730C"/>
    <w:rsid w:val="00CF0F4F"/>
    <w:rsid w:val="00CF2F46"/>
    <w:rsid w:val="00D037D9"/>
    <w:rsid w:val="00D06931"/>
    <w:rsid w:val="00D06A10"/>
    <w:rsid w:val="00D07F36"/>
    <w:rsid w:val="00D1585A"/>
    <w:rsid w:val="00D1606E"/>
    <w:rsid w:val="00D17CDE"/>
    <w:rsid w:val="00D24D65"/>
    <w:rsid w:val="00D25D94"/>
    <w:rsid w:val="00D31001"/>
    <w:rsid w:val="00D31F2A"/>
    <w:rsid w:val="00D36291"/>
    <w:rsid w:val="00D47AEB"/>
    <w:rsid w:val="00D503B2"/>
    <w:rsid w:val="00D508D6"/>
    <w:rsid w:val="00D521BB"/>
    <w:rsid w:val="00D52FB3"/>
    <w:rsid w:val="00D53BB6"/>
    <w:rsid w:val="00D6188C"/>
    <w:rsid w:val="00D65097"/>
    <w:rsid w:val="00D7091D"/>
    <w:rsid w:val="00D74BA6"/>
    <w:rsid w:val="00D77151"/>
    <w:rsid w:val="00D7792B"/>
    <w:rsid w:val="00D80724"/>
    <w:rsid w:val="00D830F2"/>
    <w:rsid w:val="00D8406D"/>
    <w:rsid w:val="00D95F5E"/>
    <w:rsid w:val="00D97BE0"/>
    <w:rsid w:val="00DA509C"/>
    <w:rsid w:val="00DB0CF8"/>
    <w:rsid w:val="00DC20F0"/>
    <w:rsid w:val="00DC5FD7"/>
    <w:rsid w:val="00DD4404"/>
    <w:rsid w:val="00DE0CFF"/>
    <w:rsid w:val="00E05D46"/>
    <w:rsid w:val="00E10099"/>
    <w:rsid w:val="00E13596"/>
    <w:rsid w:val="00E13B8C"/>
    <w:rsid w:val="00E2168D"/>
    <w:rsid w:val="00E27593"/>
    <w:rsid w:val="00E424FF"/>
    <w:rsid w:val="00E42C1D"/>
    <w:rsid w:val="00E45CB8"/>
    <w:rsid w:val="00E46127"/>
    <w:rsid w:val="00E51206"/>
    <w:rsid w:val="00E53E35"/>
    <w:rsid w:val="00E66E38"/>
    <w:rsid w:val="00E72BDA"/>
    <w:rsid w:val="00E7794A"/>
    <w:rsid w:val="00E802A8"/>
    <w:rsid w:val="00E97244"/>
    <w:rsid w:val="00EA40E6"/>
    <w:rsid w:val="00EA5D29"/>
    <w:rsid w:val="00EB1540"/>
    <w:rsid w:val="00EB6E40"/>
    <w:rsid w:val="00EC70C7"/>
    <w:rsid w:val="00ED48E8"/>
    <w:rsid w:val="00ED4D9A"/>
    <w:rsid w:val="00ED55D5"/>
    <w:rsid w:val="00ED7658"/>
    <w:rsid w:val="00EE1C81"/>
    <w:rsid w:val="00EE2D90"/>
    <w:rsid w:val="00EE35CD"/>
    <w:rsid w:val="00EE3EA4"/>
    <w:rsid w:val="00EE6407"/>
    <w:rsid w:val="00EF0C30"/>
    <w:rsid w:val="00EF4B8B"/>
    <w:rsid w:val="00EF5FEE"/>
    <w:rsid w:val="00F0548D"/>
    <w:rsid w:val="00F0708C"/>
    <w:rsid w:val="00F13466"/>
    <w:rsid w:val="00F14927"/>
    <w:rsid w:val="00F20D37"/>
    <w:rsid w:val="00F20D79"/>
    <w:rsid w:val="00F22A1D"/>
    <w:rsid w:val="00F268EE"/>
    <w:rsid w:val="00F319B3"/>
    <w:rsid w:val="00F31AA6"/>
    <w:rsid w:val="00F369A7"/>
    <w:rsid w:val="00F40511"/>
    <w:rsid w:val="00F419F2"/>
    <w:rsid w:val="00F41F05"/>
    <w:rsid w:val="00F4268C"/>
    <w:rsid w:val="00F47B11"/>
    <w:rsid w:val="00F47D9C"/>
    <w:rsid w:val="00F550A8"/>
    <w:rsid w:val="00F61961"/>
    <w:rsid w:val="00F621F1"/>
    <w:rsid w:val="00F70C5C"/>
    <w:rsid w:val="00F7673A"/>
    <w:rsid w:val="00F768AD"/>
    <w:rsid w:val="00F81FCE"/>
    <w:rsid w:val="00F828F5"/>
    <w:rsid w:val="00F86A00"/>
    <w:rsid w:val="00F86C89"/>
    <w:rsid w:val="00F93C71"/>
    <w:rsid w:val="00F95205"/>
    <w:rsid w:val="00FA05D9"/>
    <w:rsid w:val="00FB299F"/>
    <w:rsid w:val="00FB6771"/>
    <w:rsid w:val="00FC1C0E"/>
    <w:rsid w:val="00FC5145"/>
    <w:rsid w:val="00FC6F41"/>
    <w:rsid w:val="00FD302B"/>
    <w:rsid w:val="00FD64B4"/>
    <w:rsid w:val="00FE1D59"/>
    <w:rsid w:val="00FE367F"/>
    <w:rsid w:val="00FF0ECC"/>
    <w:rsid w:val="01211AD4"/>
    <w:rsid w:val="01390BCC"/>
    <w:rsid w:val="01E66D9F"/>
    <w:rsid w:val="02001184"/>
    <w:rsid w:val="02421D02"/>
    <w:rsid w:val="02617A49"/>
    <w:rsid w:val="02714EBE"/>
    <w:rsid w:val="02D45050"/>
    <w:rsid w:val="030F0707"/>
    <w:rsid w:val="032615AD"/>
    <w:rsid w:val="04016E86"/>
    <w:rsid w:val="040A2473"/>
    <w:rsid w:val="04291C9B"/>
    <w:rsid w:val="048D06F3"/>
    <w:rsid w:val="04AE0950"/>
    <w:rsid w:val="05164029"/>
    <w:rsid w:val="052531A2"/>
    <w:rsid w:val="05A27CEE"/>
    <w:rsid w:val="05AF22F8"/>
    <w:rsid w:val="05C329E2"/>
    <w:rsid w:val="05C472A9"/>
    <w:rsid w:val="062D7628"/>
    <w:rsid w:val="06884F6E"/>
    <w:rsid w:val="06A11889"/>
    <w:rsid w:val="06DE41BB"/>
    <w:rsid w:val="071C074E"/>
    <w:rsid w:val="075A7AEE"/>
    <w:rsid w:val="07E8584F"/>
    <w:rsid w:val="083A604B"/>
    <w:rsid w:val="08467CBC"/>
    <w:rsid w:val="08A73BA2"/>
    <w:rsid w:val="08D31906"/>
    <w:rsid w:val="091A2A5F"/>
    <w:rsid w:val="0973310E"/>
    <w:rsid w:val="097A63E1"/>
    <w:rsid w:val="098175B4"/>
    <w:rsid w:val="09C37BCC"/>
    <w:rsid w:val="0A35167F"/>
    <w:rsid w:val="0BC8055D"/>
    <w:rsid w:val="0C5E3BDC"/>
    <w:rsid w:val="0CA022AE"/>
    <w:rsid w:val="0D0B69B8"/>
    <w:rsid w:val="0D1C5FB0"/>
    <w:rsid w:val="0D324C63"/>
    <w:rsid w:val="0D93792E"/>
    <w:rsid w:val="0DA7300E"/>
    <w:rsid w:val="0DE3083D"/>
    <w:rsid w:val="0E053AB5"/>
    <w:rsid w:val="0E13784D"/>
    <w:rsid w:val="0E912DB2"/>
    <w:rsid w:val="0EF65480"/>
    <w:rsid w:val="0F0B6CB4"/>
    <w:rsid w:val="0F91239E"/>
    <w:rsid w:val="0FB26E5F"/>
    <w:rsid w:val="10787719"/>
    <w:rsid w:val="108340E7"/>
    <w:rsid w:val="109B0F21"/>
    <w:rsid w:val="109B4A79"/>
    <w:rsid w:val="10EC085B"/>
    <w:rsid w:val="10FD71D1"/>
    <w:rsid w:val="117F4DC6"/>
    <w:rsid w:val="120C0689"/>
    <w:rsid w:val="122B0399"/>
    <w:rsid w:val="125771C3"/>
    <w:rsid w:val="12734C87"/>
    <w:rsid w:val="128F4AEF"/>
    <w:rsid w:val="12A367ED"/>
    <w:rsid w:val="12BE7C8A"/>
    <w:rsid w:val="12FE7EC7"/>
    <w:rsid w:val="132F01BE"/>
    <w:rsid w:val="139F5D26"/>
    <w:rsid w:val="13A54F56"/>
    <w:rsid w:val="13D12EE6"/>
    <w:rsid w:val="13E8613D"/>
    <w:rsid w:val="140C2637"/>
    <w:rsid w:val="14101C60"/>
    <w:rsid w:val="14654BE3"/>
    <w:rsid w:val="14667AD2"/>
    <w:rsid w:val="146B2DA3"/>
    <w:rsid w:val="148D47B9"/>
    <w:rsid w:val="148E2AD3"/>
    <w:rsid w:val="14D1667B"/>
    <w:rsid w:val="14DB35E8"/>
    <w:rsid w:val="151D2886"/>
    <w:rsid w:val="15221A9F"/>
    <w:rsid w:val="154C0F75"/>
    <w:rsid w:val="15520056"/>
    <w:rsid w:val="157D01C2"/>
    <w:rsid w:val="159135B9"/>
    <w:rsid w:val="15D50843"/>
    <w:rsid w:val="16443216"/>
    <w:rsid w:val="164B0F0A"/>
    <w:rsid w:val="166744CC"/>
    <w:rsid w:val="16ADC380"/>
    <w:rsid w:val="16B84953"/>
    <w:rsid w:val="16BF3000"/>
    <w:rsid w:val="16CE2494"/>
    <w:rsid w:val="16DE6045"/>
    <w:rsid w:val="16E85455"/>
    <w:rsid w:val="170D4E5D"/>
    <w:rsid w:val="176709B1"/>
    <w:rsid w:val="17725CE9"/>
    <w:rsid w:val="18533825"/>
    <w:rsid w:val="189906FC"/>
    <w:rsid w:val="18E35A74"/>
    <w:rsid w:val="18ED3ED4"/>
    <w:rsid w:val="19C4698D"/>
    <w:rsid w:val="19EE0A95"/>
    <w:rsid w:val="1AC76DF0"/>
    <w:rsid w:val="1AF26D6C"/>
    <w:rsid w:val="1B065B6B"/>
    <w:rsid w:val="1B1C0D93"/>
    <w:rsid w:val="1B3A5C69"/>
    <w:rsid w:val="1B774CFC"/>
    <w:rsid w:val="1B8847AC"/>
    <w:rsid w:val="1BAD4238"/>
    <w:rsid w:val="1BFD04F9"/>
    <w:rsid w:val="1C0A0A28"/>
    <w:rsid w:val="1C432D37"/>
    <w:rsid w:val="1C6A7692"/>
    <w:rsid w:val="1C7D3C04"/>
    <w:rsid w:val="1C8348EE"/>
    <w:rsid w:val="1D212427"/>
    <w:rsid w:val="1D3E15EC"/>
    <w:rsid w:val="1D595F05"/>
    <w:rsid w:val="1D807E56"/>
    <w:rsid w:val="1EF25C5B"/>
    <w:rsid w:val="1FAF435F"/>
    <w:rsid w:val="1FF87052"/>
    <w:rsid w:val="2001548A"/>
    <w:rsid w:val="200D374F"/>
    <w:rsid w:val="205722C9"/>
    <w:rsid w:val="205B24B5"/>
    <w:rsid w:val="20715785"/>
    <w:rsid w:val="20AA4C51"/>
    <w:rsid w:val="20DA1F98"/>
    <w:rsid w:val="20F35320"/>
    <w:rsid w:val="218872DA"/>
    <w:rsid w:val="21EF3765"/>
    <w:rsid w:val="21F37CC6"/>
    <w:rsid w:val="220C3006"/>
    <w:rsid w:val="227A62B6"/>
    <w:rsid w:val="22BD2FB3"/>
    <w:rsid w:val="22C44FEB"/>
    <w:rsid w:val="22D30A28"/>
    <w:rsid w:val="233C481F"/>
    <w:rsid w:val="235874C2"/>
    <w:rsid w:val="23767606"/>
    <w:rsid w:val="23A80FE6"/>
    <w:rsid w:val="23DA5DE6"/>
    <w:rsid w:val="2464180D"/>
    <w:rsid w:val="24661428"/>
    <w:rsid w:val="247675D0"/>
    <w:rsid w:val="249102E8"/>
    <w:rsid w:val="24B942D3"/>
    <w:rsid w:val="24E7377F"/>
    <w:rsid w:val="25702882"/>
    <w:rsid w:val="25A2260D"/>
    <w:rsid w:val="25CF2A20"/>
    <w:rsid w:val="26170C2C"/>
    <w:rsid w:val="26A54C67"/>
    <w:rsid w:val="26C57D91"/>
    <w:rsid w:val="26FC1D27"/>
    <w:rsid w:val="275D2FB6"/>
    <w:rsid w:val="27846795"/>
    <w:rsid w:val="27990685"/>
    <w:rsid w:val="27D33112"/>
    <w:rsid w:val="27FA6021"/>
    <w:rsid w:val="28355CE1"/>
    <w:rsid w:val="286D547B"/>
    <w:rsid w:val="289B51BE"/>
    <w:rsid w:val="28CF54E9"/>
    <w:rsid w:val="28DC1122"/>
    <w:rsid w:val="292C0F27"/>
    <w:rsid w:val="29594824"/>
    <w:rsid w:val="299B505D"/>
    <w:rsid w:val="29A06CAD"/>
    <w:rsid w:val="2A1C11BB"/>
    <w:rsid w:val="2A4D10C0"/>
    <w:rsid w:val="2A5D507B"/>
    <w:rsid w:val="2AD61059"/>
    <w:rsid w:val="2B063188"/>
    <w:rsid w:val="2B2F5B2A"/>
    <w:rsid w:val="2B620F43"/>
    <w:rsid w:val="2B9845BD"/>
    <w:rsid w:val="2BA76C83"/>
    <w:rsid w:val="2BFC7F66"/>
    <w:rsid w:val="2C5946DD"/>
    <w:rsid w:val="2CA23219"/>
    <w:rsid w:val="2D44177A"/>
    <w:rsid w:val="2D727090"/>
    <w:rsid w:val="2D843922"/>
    <w:rsid w:val="2DBC6B71"/>
    <w:rsid w:val="2DC81675"/>
    <w:rsid w:val="2E1001F4"/>
    <w:rsid w:val="2E32483A"/>
    <w:rsid w:val="2E78077B"/>
    <w:rsid w:val="2EA34B32"/>
    <w:rsid w:val="2EBF6305"/>
    <w:rsid w:val="2EEC5B68"/>
    <w:rsid w:val="2F0106CB"/>
    <w:rsid w:val="2F5A2448"/>
    <w:rsid w:val="2F7112CC"/>
    <w:rsid w:val="2FBC45F2"/>
    <w:rsid w:val="30200C5B"/>
    <w:rsid w:val="302C6AD6"/>
    <w:rsid w:val="3035691F"/>
    <w:rsid w:val="30512938"/>
    <w:rsid w:val="307F3F9D"/>
    <w:rsid w:val="30E94BC7"/>
    <w:rsid w:val="314521CF"/>
    <w:rsid w:val="31472D78"/>
    <w:rsid w:val="31717451"/>
    <w:rsid w:val="32374CCF"/>
    <w:rsid w:val="32990503"/>
    <w:rsid w:val="331362FA"/>
    <w:rsid w:val="33AB1227"/>
    <w:rsid w:val="346E05B1"/>
    <w:rsid w:val="347BD00D"/>
    <w:rsid w:val="348102D3"/>
    <w:rsid w:val="351C7628"/>
    <w:rsid w:val="35614329"/>
    <w:rsid w:val="3579545F"/>
    <w:rsid w:val="357B23B5"/>
    <w:rsid w:val="3583008C"/>
    <w:rsid w:val="358E4F55"/>
    <w:rsid w:val="35A00EA1"/>
    <w:rsid w:val="35E93C67"/>
    <w:rsid w:val="36010FB1"/>
    <w:rsid w:val="360E4726"/>
    <w:rsid w:val="361F652E"/>
    <w:rsid w:val="36DF6415"/>
    <w:rsid w:val="37557806"/>
    <w:rsid w:val="37761957"/>
    <w:rsid w:val="37AB5F08"/>
    <w:rsid w:val="37EE7E49"/>
    <w:rsid w:val="37FF10DD"/>
    <w:rsid w:val="381C6576"/>
    <w:rsid w:val="38260B47"/>
    <w:rsid w:val="38344E8D"/>
    <w:rsid w:val="383F0094"/>
    <w:rsid w:val="3895785E"/>
    <w:rsid w:val="38E660F5"/>
    <w:rsid w:val="3922266C"/>
    <w:rsid w:val="39447B32"/>
    <w:rsid w:val="39452E23"/>
    <w:rsid w:val="39A01D15"/>
    <w:rsid w:val="39A073AE"/>
    <w:rsid w:val="39A564B1"/>
    <w:rsid w:val="39B12CEE"/>
    <w:rsid w:val="3A4C560D"/>
    <w:rsid w:val="3A6B10EF"/>
    <w:rsid w:val="3AFB5680"/>
    <w:rsid w:val="3B2D4A6E"/>
    <w:rsid w:val="3B300595"/>
    <w:rsid w:val="3B366384"/>
    <w:rsid w:val="3BE41201"/>
    <w:rsid w:val="3C256A70"/>
    <w:rsid w:val="3C3F782A"/>
    <w:rsid w:val="3C8E3E57"/>
    <w:rsid w:val="3CA64660"/>
    <w:rsid w:val="3CE24454"/>
    <w:rsid w:val="3CF172FC"/>
    <w:rsid w:val="3D0C0967"/>
    <w:rsid w:val="3D670293"/>
    <w:rsid w:val="3D675942"/>
    <w:rsid w:val="3E1321C9"/>
    <w:rsid w:val="3E70582C"/>
    <w:rsid w:val="3E7F44B7"/>
    <w:rsid w:val="3F1B71E4"/>
    <w:rsid w:val="3F6DB12A"/>
    <w:rsid w:val="3F6E36BB"/>
    <w:rsid w:val="3F7F87A0"/>
    <w:rsid w:val="3F9378A2"/>
    <w:rsid w:val="3FBD2CBD"/>
    <w:rsid w:val="3FC21CC9"/>
    <w:rsid w:val="3FE21CD4"/>
    <w:rsid w:val="3FF7A303"/>
    <w:rsid w:val="400E49F6"/>
    <w:rsid w:val="408F1F65"/>
    <w:rsid w:val="40D53CFA"/>
    <w:rsid w:val="40DA2D8A"/>
    <w:rsid w:val="410C7655"/>
    <w:rsid w:val="4165729C"/>
    <w:rsid w:val="416A65A4"/>
    <w:rsid w:val="41831414"/>
    <w:rsid w:val="427A33D6"/>
    <w:rsid w:val="428B2523"/>
    <w:rsid w:val="428B3BBD"/>
    <w:rsid w:val="42982C9D"/>
    <w:rsid w:val="42B11FA4"/>
    <w:rsid w:val="43321BB6"/>
    <w:rsid w:val="438C70E7"/>
    <w:rsid w:val="4399307B"/>
    <w:rsid w:val="43CF59A7"/>
    <w:rsid w:val="44003CBE"/>
    <w:rsid w:val="44380293"/>
    <w:rsid w:val="4476700E"/>
    <w:rsid w:val="44D6335C"/>
    <w:rsid w:val="44EC1759"/>
    <w:rsid w:val="44F436F8"/>
    <w:rsid w:val="45260A34"/>
    <w:rsid w:val="4593412A"/>
    <w:rsid w:val="45AE3109"/>
    <w:rsid w:val="45EF0843"/>
    <w:rsid w:val="460808AF"/>
    <w:rsid w:val="460854C1"/>
    <w:rsid w:val="465F6F6A"/>
    <w:rsid w:val="467639C5"/>
    <w:rsid w:val="4691012F"/>
    <w:rsid w:val="47044DA5"/>
    <w:rsid w:val="47556EAD"/>
    <w:rsid w:val="477FC0FC"/>
    <w:rsid w:val="479A30A6"/>
    <w:rsid w:val="47AB64AE"/>
    <w:rsid w:val="47AC3280"/>
    <w:rsid w:val="47C47F8C"/>
    <w:rsid w:val="47F7753F"/>
    <w:rsid w:val="483676E5"/>
    <w:rsid w:val="48AE6D76"/>
    <w:rsid w:val="49075C09"/>
    <w:rsid w:val="495201F8"/>
    <w:rsid w:val="49570661"/>
    <w:rsid w:val="49786AFA"/>
    <w:rsid w:val="49FE1549"/>
    <w:rsid w:val="4A6F28A0"/>
    <w:rsid w:val="4A6F3A02"/>
    <w:rsid w:val="4B0E330E"/>
    <w:rsid w:val="4B6F473F"/>
    <w:rsid w:val="4B7C7600"/>
    <w:rsid w:val="4BC51105"/>
    <w:rsid w:val="4BCE21F5"/>
    <w:rsid w:val="4C32396A"/>
    <w:rsid w:val="4C5365B2"/>
    <w:rsid w:val="4CA7479C"/>
    <w:rsid w:val="4CEC4088"/>
    <w:rsid w:val="4CF55004"/>
    <w:rsid w:val="4D534390"/>
    <w:rsid w:val="4D5E675A"/>
    <w:rsid w:val="4E1E2970"/>
    <w:rsid w:val="4E4A12EF"/>
    <w:rsid w:val="4E5C450E"/>
    <w:rsid w:val="4E9D6640"/>
    <w:rsid w:val="4EA406F6"/>
    <w:rsid w:val="4EDE2A1F"/>
    <w:rsid w:val="4EFB6F97"/>
    <w:rsid w:val="4F131BD8"/>
    <w:rsid w:val="4F4641AC"/>
    <w:rsid w:val="4F55619D"/>
    <w:rsid w:val="4F593DC9"/>
    <w:rsid w:val="4F6F4D85"/>
    <w:rsid w:val="4F954038"/>
    <w:rsid w:val="500B6D31"/>
    <w:rsid w:val="500D694B"/>
    <w:rsid w:val="501639BF"/>
    <w:rsid w:val="50325C14"/>
    <w:rsid w:val="504B29FB"/>
    <w:rsid w:val="504E2EB0"/>
    <w:rsid w:val="50D25D8D"/>
    <w:rsid w:val="50F419E6"/>
    <w:rsid w:val="5133703C"/>
    <w:rsid w:val="516E4DEE"/>
    <w:rsid w:val="51702CBE"/>
    <w:rsid w:val="51DE71EF"/>
    <w:rsid w:val="52524C16"/>
    <w:rsid w:val="52854FEC"/>
    <w:rsid w:val="529E6199"/>
    <w:rsid w:val="52BB031B"/>
    <w:rsid w:val="52DE64AA"/>
    <w:rsid w:val="53283D83"/>
    <w:rsid w:val="53704EDD"/>
    <w:rsid w:val="53975F02"/>
    <w:rsid w:val="54E649E9"/>
    <w:rsid w:val="55200FFC"/>
    <w:rsid w:val="5525408D"/>
    <w:rsid w:val="55A03BCE"/>
    <w:rsid w:val="55EF6058"/>
    <w:rsid w:val="563331C0"/>
    <w:rsid w:val="564C4FB1"/>
    <w:rsid w:val="576F0018"/>
    <w:rsid w:val="57904625"/>
    <w:rsid w:val="57B204EC"/>
    <w:rsid w:val="57C720F0"/>
    <w:rsid w:val="57EC9F14"/>
    <w:rsid w:val="57EF55E4"/>
    <w:rsid w:val="57F624E8"/>
    <w:rsid w:val="582C7CB7"/>
    <w:rsid w:val="58353668"/>
    <w:rsid w:val="599C4058"/>
    <w:rsid w:val="59A509D3"/>
    <w:rsid w:val="59F760A3"/>
    <w:rsid w:val="5A163930"/>
    <w:rsid w:val="5A4A08C9"/>
    <w:rsid w:val="5A4E3645"/>
    <w:rsid w:val="5A6249B0"/>
    <w:rsid w:val="5A6F72AF"/>
    <w:rsid w:val="5ABC0512"/>
    <w:rsid w:val="5ADBC404"/>
    <w:rsid w:val="5B484EE0"/>
    <w:rsid w:val="5B6F05E7"/>
    <w:rsid w:val="5B6F3907"/>
    <w:rsid w:val="5B8E3E78"/>
    <w:rsid w:val="5BA00BCD"/>
    <w:rsid w:val="5BA76D5B"/>
    <w:rsid w:val="5BD32384"/>
    <w:rsid w:val="5BF39976"/>
    <w:rsid w:val="5BFDE701"/>
    <w:rsid w:val="5C1D6295"/>
    <w:rsid w:val="5CDECA15"/>
    <w:rsid w:val="5CEE9A65"/>
    <w:rsid w:val="5D79574D"/>
    <w:rsid w:val="5DFD2403"/>
    <w:rsid w:val="5E2E359A"/>
    <w:rsid w:val="5E7F31D8"/>
    <w:rsid w:val="5E896277"/>
    <w:rsid w:val="5ED76FA1"/>
    <w:rsid w:val="5EFF040A"/>
    <w:rsid w:val="5F4202F6"/>
    <w:rsid w:val="5F624E10"/>
    <w:rsid w:val="5FB65307"/>
    <w:rsid w:val="5FCF2E6E"/>
    <w:rsid w:val="5FE70AA7"/>
    <w:rsid w:val="5FF6738C"/>
    <w:rsid w:val="603429FF"/>
    <w:rsid w:val="606F2E37"/>
    <w:rsid w:val="60A70823"/>
    <w:rsid w:val="60BC0A13"/>
    <w:rsid w:val="60FA11F3"/>
    <w:rsid w:val="60FE6B6B"/>
    <w:rsid w:val="61035669"/>
    <w:rsid w:val="61097D1E"/>
    <w:rsid w:val="613100ED"/>
    <w:rsid w:val="616D6818"/>
    <w:rsid w:val="618A738C"/>
    <w:rsid w:val="61993D0E"/>
    <w:rsid w:val="62147075"/>
    <w:rsid w:val="621E0449"/>
    <w:rsid w:val="62297D08"/>
    <w:rsid w:val="6244538F"/>
    <w:rsid w:val="62736F98"/>
    <w:rsid w:val="62865E47"/>
    <w:rsid w:val="62E86CF6"/>
    <w:rsid w:val="63184E46"/>
    <w:rsid w:val="635B68BC"/>
    <w:rsid w:val="635F3637"/>
    <w:rsid w:val="63924B66"/>
    <w:rsid w:val="639A641D"/>
    <w:rsid w:val="63AA0503"/>
    <w:rsid w:val="63FF1F39"/>
    <w:rsid w:val="64495261"/>
    <w:rsid w:val="645962D8"/>
    <w:rsid w:val="64780896"/>
    <w:rsid w:val="64A42538"/>
    <w:rsid w:val="64BB2ADB"/>
    <w:rsid w:val="64D73E7B"/>
    <w:rsid w:val="65E461E1"/>
    <w:rsid w:val="662355DD"/>
    <w:rsid w:val="665C5C0C"/>
    <w:rsid w:val="66653083"/>
    <w:rsid w:val="66F04D16"/>
    <w:rsid w:val="66F269CA"/>
    <w:rsid w:val="672B6398"/>
    <w:rsid w:val="67415971"/>
    <w:rsid w:val="6751081D"/>
    <w:rsid w:val="67536E4C"/>
    <w:rsid w:val="67636300"/>
    <w:rsid w:val="6777C0EA"/>
    <w:rsid w:val="681D6696"/>
    <w:rsid w:val="68462FA1"/>
    <w:rsid w:val="687BA4D0"/>
    <w:rsid w:val="68907DEF"/>
    <w:rsid w:val="68A235FA"/>
    <w:rsid w:val="68AE3D2C"/>
    <w:rsid w:val="68F541BB"/>
    <w:rsid w:val="6906075A"/>
    <w:rsid w:val="693B19B5"/>
    <w:rsid w:val="69CA2576"/>
    <w:rsid w:val="6A215319"/>
    <w:rsid w:val="6A486BD3"/>
    <w:rsid w:val="6A4C1369"/>
    <w:rsid w:val="6AE1D30D"/>
    <w:rsid w:val="6B1B4052"/>
    <w:rsid w:val="6B2C380C"/>
    <w:rsid w:val="6B3873E2"/>
    <w:rsid w:val="6B3934C3"/>
    <w:rsid w:val="6B5432DA"/>
    <w:rsid w:val="6BAA32FA"/>
    <w:rsid w:val="6BB05620"/>
    <w:rsid w:val="6BBF3CF7"/>
    <w:rsid w:val="6BE58AAD"/>
    <w:rsid w:val="6C154E0E"/>
    <w:rsid w:val="6C477F60"/>
    <w:rsid w:val="6C60666F"/>
    <w:rsid w:val="6D8F71C5"/>
    <w:rsid w:val="6DBE0F5A"/>
    <w:rsid w:val="6DBFE535"/>
    <w:rsid w:val="6DD30EA9"/>
    <w:rsid w:val="6DEC2698"/>
    <w:rsid w:val="6E1238AD"/>
    <w:rsid w:val="6EA53C60"/>
    <w:rsid w:val="6EFFBC0E"/>
    <w:rsid w:val="6F2E4AF3"/>
    <w:rsid w:val="6F524050"/>
    <w:rsid w:val="6FDEEDE8"/>
    <w:rsid w:val="6FF2C5E5"/>
    <w:rsid w:val="7045562C"/>
    <w:rsid w:val="70933CEF"/>
    <w:rsid w:val="70987D0D"/>
    <w:rsid w:val="70F84783"/>
    <w:rsid w:val="718D37CA"/>
    <w:rsid w:val="71B96608"/>
    <w:rsid w:val="71E75F2A"/>
    <w:rsid w:val="725C52FB"/>
    <w:rsid w:val="726E5735"/>
    <w:rsid w:val="72E15E16"/>
    <w:rsid w:val="72EA1FE0"/>
    <w:rsid w:val="72FF2082"/>
    <w:rsid w:val="73517EB0"/>
    <w:rsid w:val="73965C7A"/>
    <w:rsid w:val="73BB1C67"/>
    <w:rsid w:val="73C80274"/>
    <w:rsid w:val="73E14206"/>
    <w:rsid w:val="73E92C4B"/>
    <w:rsid w:val="746D7236"/>
    <w:rsid w:val="75B56B33"/>
    <w:rsid w:val="75BA443F"/>
    <w:rsid w:val="75E73EBE"/>
    <w:rsid w:val="76A52069"/>
    <w:rsid w:val="76B77BC3"/>
    <w:rsid w:val="770E1D38"/>
    <w:rsid w:val="77155DD6"/>
    <w:rsid w:val="7729A8AB"/>
    <w:rsid w:val="77554DCC"/>
    <w:rsid w:val="776A6714"/>
    <w:rsid w:val="7772E7B5"/>
    <w:rsid w:val="77812262"/>
    <w:rsid w:val="77C6382D"/>
    <w:rsid w:val="77D5558B"/>
    <w:rsid w:val="783E1615"/>
    <w:rsid w:val="78512DF4"/>
    <w:rsid w:val="78721AFC"/>
    <w:rsid w:val="78767001"/>
    <w:rsid w:val="78C31808"/>
    <w:rsid w:val="78C935D5"/>
    <w:rsid w:val="7908103A"/>
    <w:rsid w:val="79B00497"/>
    <w:rsid w:val="79C264CE"/>
    <w:rsid w:val="79CF379C"/>
    <w:rsid w:val="79EB7676"/>
    <w:rsid w:val="7A12508D"/>
    <w:rsid w:val="7A221534"/>
    <w:rsid w:val="7AC1181D"/>
    <w:rsid w:val="7B7266F8"/>
    <w:rsid w:val="7B9608F8"/>
    <w:rsid w:val="7B9766ED"/>
    <w:rsid w:val="7BA51C21"/>
    <w:rsid w:val="7BF31D9D"/>
    <w:rsid w:val="7BF5648F"/>
    <w:rsid w:val="7BFFD5C8"/>
    <w:rsid w:val="7C414561"/>
    <w:rsid w:val="7C444D20"/>
    <w:rsid w:val="7C94044F"/>
    <w:rsid w:val="7CA07501"/>
    <w:rsid w:val="7CDA4754"/>
    <w:rsid w:val="7CFB7E38"/>
    <w:rsid w:val="7D40198C"/>
    <w:rsid w:val="7D584F27"/>
    <w:rsid w:val="7DE7CFEE"/>
    <w:rsid w:val="7DFF0AD0"/>
    <w:rsid w:val="7E1F3F99"/>
    <w:rsid w:val="7E2A4BC7"/>
    <w:rsid w:val="7E52028D"/>
    <w:rsid w:val="7E73AF3B"/>
    <w:rsid w:val="7E7B1E5B"/>
    <w:rsid w:val="7ED5AA67"/>
    <w:rsid w:val="7EF7AC4F"/>
    <w:rsid w:val="7EF9439E"/>
    <w:rsid w:val="7F3DA825"/>
    <w:rsid w:val="7F6F76B4"/>
    <w:rsid w:val="7F7F4F05"/>
    <w:rsid w:val="7F826563"/>
    <w:rsid w:val="7FB7B866"/>
    <w:rsid w:val="7FDE533F"/>
    <w:rsid w:val="7FEF46D1"/>
    <w:rsid w:val="7FFD74D5"/>
    <w:rsid w:val="7FFF78DC"/>
    <w:rsid w:val="887F47E3"/>
    <w:rsid w:val="927873B9"/>
    <w:rsid w:val="96F558B0"/>
    <w:rsid w:val="9FDF849A"/>
    <w:rsid w:val="AD7BCE56"/>
    <w:rsid w:val="ADF0E24B"/>
    <w:rsid w:val="AF9FAEFE"/>
    <w:rsid w:val="B2FB7C07"/>
    <w:rsid w:val="B5DB6CE2"/>
    <w:rsid w:val="B75EF6EE"/>
    <w:rsid w:val="B9F7C6AD"/>
    <w:rsid w:val="BF133AA3"/>
    <w:rsid w:val="BF73C321"/>
    <w:rsid w:val="BFCB73AE"/>
    <w:rsid w:val="BFDEC030"/>
    <w:rsid w:val="CA896221"/>
    <w:rsid w:val="CFFCF39D"/>
    <w:rsid w:val="D3F2553E"/>
    <w:rsid w:val="D6B70821"/>
    <w:rsid w:val="D7C9A158"/>
    <w:rsid w:val="DC5E02D7"/>
    <w:rsid w:val="DFFE7B87"/>
    <w:rsid w:val="EA6D8AC4"/>
    <w:rsid w:val="EAEADD57"/>
    <w:rsid w:val="EB7E3E3E"/>
    <w:rsid w:val="EB7F1513"/>
    <w:rsid w:val="ED6FA8DB"/>
    <w:rsid w:val="EDBF0DC0"/>
    <w:rsid w:val="EF39B708"/>
    <w:rsid w:val="EF7FBE2E"/>
    <w:rsid w:val="EFF69F5D"/>
    <w:rsid w:val="F377D5F0"/>
    <w:rsid w:val="F3BECA3B"/>
    <w:rsid w:val="F47F31BB"/>
    <w:rsid w:val="F51F7F87"/>
    <w:rsid w:val="F7F9B9E3"/>
    <w:rsid w:val="FADF0136"/>
    <w:rsid w:val="FB91AD40"/>
    <w:rsid w:val="FBF944A4"/>
    <w:rsid w:val="FBFE0E19"/>
    <w:rsid w:val="FCED670A"/>
    <w:rsid w:val="FDBF8812"/>
    <w:rsid w:val="FDE3226F"/>
    <w:rsid w:val="FDFFBF8D"/>
    <w:rsid w:val="FEDD2916"/>
    <w:rsid w:val="FEE99A9D"/>
    <w:rsid w:val="FEFE8991"/>
    <w:rsid w:val="FF334150"/>
    <w:rsid w:val="FF99E8FE"/>
    <w:rsid w:val="FFBE648D"/>
    <w:rsid w:val="FFDD511B"/>
    <w:rsid w:val="FFDE69D8"/>
    <w:rsid w:val="FFEBA2A4"/>
    <w:rsid w:val="FFFFC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3"/>
    <w:basedOn w:val="1"/>
    <w:next w:val="1"/>
    <w:unhideWhenUsed/>
    <w:qFormat/>
    <w:uiPriority w:val="0"/>
    <w:pPr>
      <w:spacing w:beforeAutospacing="1" w:afterAutospacing="1"/>
      <w:jc w:val="left"/>
      <w:outlineLvl w:val="2"/>
    </w:pPr>
    <w:rPr>
      <w:rFonts w:hint="eastAsia" w:ascii="宋体" w:hAnsi="宋体"/>
      <w:b/>
      <w:kern w:val="0"/>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qFormat/>
    <w:uiPriority w:val="0"/>
    <w:pPr>
      <w:jc w:val="left"/>
    </w:pPr>
  </w:style>
  <w:style w:type="paragraph" w:styleId="5">
    <w:name w:val="Body Text"/>
    <w:basedOn w:val="1"/>
    <w:next w:val="1"/>
    <w:link w:val="27"/>
    <w:qFormat/>
    <w:uiPriority w:val="0"/>
    <w:rPr>
      <w:rFonts w:ascii="Times New Roman" w:hAnsi="Times New Roman" w:eastAsia="宋体" w:cs="Times New Roman"/>
      <w:sz w:val="26"/>
    </w:rPr>
  </w:style>
  <w:style w:type="paragraph" w:styleId="6">
    <w:name w:val="Date"/>
    <w:basedOn w:val="1"/>
    <w:next w:val="1"/>
    <w:link w:val="20"/>
    <w:qFormat/>
    <w:uiPriority w:val="0"/>
    <w:pPr>
      <w:ind w:left="100" w:leftChars="2500"/>
    </w:pPr>
  </w:style>
  <w:style w:type="paragraph" w:styleId="7">
    <w:name w:val="Balloon Text"/>
    <w:basedOn w:val="1"/>
    <w:link w:val="18"/>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widowControl/>
      <w:spacing w:before="100" w:beforeAutospacing="1" w:after="100" w:afterAutospacing="1"/>
      <w:jc w:val="left"/>
    </w:pPr>
    <w:rPr>
      <w:rFonts w:ascii="宋体" w:hAnsi="宋体"/>
      <w:kern w:val="0"/>
      <w:sz w:val="24"/>
    </w:rPr>
  </w:style>
  <w:style w:type="paragraph" w:styleId="11">
    <w:name w:val="Title"/>
    <w:basedOn w:val="1"/>
    <w:link w:val="22"/>
    <w:qFormat/>
    <w:uiPriority w:val="0"/>
    <w:pPr>
      <w:keepLines/>
      <w:pageBreakBefore/>
      <w:widowControl/>
      <w:adjustRightInd w:val="0"/>
      <w:snapToGrid w:val="0"/>
      <w:spacing w:line="360" w:lineRule="auto"/>
      <w:jc w:val="center"/>
      <w:outlineLvl w:val="0"/>
    </w:pPr>
    <w:rPr>
      <w:rFonts w:ascii="Times New Roman" w:hAnsi="Times New Roman" w:eastAsia="黑体" w:cs="Times New Roman"/>
      <w:kern w:val="0"/>
      <w:sz w:val="44"/>
      <w:u w:val="single"/>
      <w:lang w:eastAsia="en-US"/>
    </w:rPr>
  </w:style>
  <w:style w:type="paragraph" w:styleId="12">
    <w:name w:val="annotation subject"/>
    <w:basedOn w:val="4"/>
    <w:next w:val="4"/>
    <w:link w:val="26"/>
    <w:qFormat/>
    <w:uiPriority w:val="0"/>
    <w:rPr>
      <w:b/>
      <w:bCs/>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annotation reference"/>
    <w:basedOn w:val="15"/>
    <w:qFormat/>
    <w:uiPriority w:val="0"/>
    <w:rPr>
      <w:sz w:val="21"/>
      <w:szCs w:val="21"/>
    </w:rPr>
  </w:style>
  <w:style w:type="character" w:customStyle="1" w:styleId="18">
    <w:name w:val="批注框文本 字符"/>
    <w:basedOn w:val="15"/>
    <w:link w:val="7"/>
    <w:qFormat/>
    <w:uiPriority w:val="0"/>
    <w:rPr>
      <w:kern w:val="2"/>
      <w:sz w:val="18"/>
      <w:szCs w:val="18"/>
    </w:rPr>
  </w:style>
  <w:style w:type="character" w:customStyle="1" w:styleId="19">
    <w:name w:val="批注文字 字符"/>
    <w:basedOn w:val="15"/>
    <w:link w:val="4"/>
    <w:qFormat/>
    <w:uiPriority w:val="0"/>
    <w:rPr>
      <w:kern w:val="2"/>
      <w:sz w:val="21"/>
      <w:szCs w:val="24"/>
    </w:rPr>
  </w:style>
  <w:style w:type="character" w:customStyle="1" w:styleId="20">
    <w:name w:val="日期 字符"/>
    <w:basedOn w:val="15"/>
    <w:link w:val="6"/>
    <w:qFormat/>
    <w:uiPriority w:val="0"/>
    <w:rPr>
      <w:rFonts w:asciiTheme="minorHAnsi" w:hAnsiTheme="minorHAnsi" w:eastAsiaTheme="minorEastAsia" w:cstheme="minorBidi"/>
      <w:kern w:val="2"/>
      <w:sz w:val="21"/>
      <w:szCs w:val="24"/>
    </w:rPr>
  </w:style>
  <w:style w:type="character" w:customStyle="1" w:styleId="21">
    <w:name w:val="标题 Char"/>
    <w:basedOn w:val="15"/>
    <w:qFormat/>
    <w:uiPriority w:val="0"/>
    <w:rPr>
      <w:rFonts w:asciiTheme="majorHAnsi" w:hAnsiTheme="majorHAnsi" w:cstheme="majorBidi"/>
      <w:b/>
      <w:bCs/>
      <w:kern w:val="2"/>
      <w:sz w:val="32"/>
      <w:szCs w:val="32"/>
    </w:rPr>
  </w:style>
  <w:style w:type="character" w:customStyle="1" w:styleId="22">
    <w:name w:val="标题 字符"/>
    <w:link w:val="11"/>
    <w:qFormat/>
    <w:uiPriority w:val="0"/>
    <w:rPr>
      <w:rFonts w:eastAsia="黑体"/>
      <w:sz w:val="44"/>
      <w:szCs w:val="24"/>
      <w:u w:val="single"/>
      <w:lang w:eastAsia="en-US"/>
    </w:rPr>
  </w:style>
  <w:style w:type="paragraph" w:customStyle="1" w:styleId="23">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24">
    <w:name w:val="修订2"/>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25">
    <w:name w:val="修订3"/>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26">
    <w:name w:val="批注主题 字符"/>
    <w:basedOn w:val="19"/>
    <w:link w:val="12"/>
    <w:qFormat/>
    <w:uiPriority w:val="0"/>
    <w:rPr>
      <w:rFonts w:asciiTheme="minorHAnsi" w:hAnsiTheme="minorHAnsi" w:eastAsiaTheme="minorEastAsia" w:cstheme="minorBidi"/>
      <w:b/>
      <w:bCs/>
      <w:kern w:val="2"/>
      <w:sz w:val="21"/>
      <w:szCs w:val="24"/>
    </w:rPr>
  </w:style>
  <w:style w:type="character" w:customStyle="1" w:styleId="27">
    <w:name w:val="正文文本 字符"/>
    <w:basedOn w:val="15"/>
    <w:link w:val="5"/>
    <w:qFormat/>
    <w:uiPriority w:val="0"/>
    <w:rPr>
      <w:kern w:val="2"/>
      <w:sz w:val="26"/>
      <w:szCs w:val="24"/>
    </w:rPr>
  </w:style>
  <w:style w:type="paragraph" w:customStyle="1" w:styleId="28">
    <w:name w:val="修订4"/>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29">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PC</Company>
  <Pages>12</Pages>
  <Words>7414</Words>
  <Characters>7571</Characters>
  <Lines>45</Lines>
  <Paragraphs>12</Paragraphs>
  <TotalTime>6</TotalTime>
  <ScaleCrop>false</ScaleCrop>
  <LinksUpToDate>false</LinksUpToDate>
  <CharactersWithSpaces>8181</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2023-11-20T03:53:00Z</dcterms:created>
  <dc:creator>荷包蛋</dc:creator>
  <cp:lastModifiedBy>姜莉</cp:lastModifiedBy>
  <cp:lastPrinted>2023-11-23T07:16:00Z</cp:lastPrinted>
  <dcterms:modified xsi:type="dcterms:W3CDTF">2026-03-24T07:50:59Z</dcterms:modified>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713E1E23DE9C44CC9A81E56AE9D7387B_13</vt:lpwstr>
  </property>
  <property fmtid="{D5CDD505-2E9C-101B-9397-08002B2CF9AE}" pid="4" name="KSOTemplateDocerSaveRecord">
    <vt:lpwstr>eyJoZGlkIjoiMmUyNzBmYzllODU4M2IwMzNiNmM1ZmQ2ZWI3ZDgzNTMiLCJ1c2VySWQiOiIxNjA4Nzg1Njg2In0=</vt:lpwstr>
  </property>
</Properties>
</file>